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0A3" w:rsidRDefault="00B46711">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B260A3" w:rsidRDefault="00B46711">
      <w:pPr>
        <w:rPr>
          <w:rFonts w:ascii="Arial" w:eastAsia="Arial" w:hAnsi="Arial"/>
          <w:sz w:val="24"/>
          <w:szCs w:val="24"/>
        </w:rPr>
      </w:pPr>
      <w:bookmarkStart w:id="1" w:name="_GoBack"/>
      <w:bookmarkEnd w:id="1"/>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w:t>
      </w:r>
      <w:r>
        <w:rPr>
          <w:rFonts w:ascii="Arial" w:eastAsia="Arial" w:hAnsi="Arial"/>
          <w:sz w:val="24"/>
          <w:szCs w:val="24"/>
        </w:rPr>
        <w:t>ropriate pensions provisions will also need to be selected.</w:t>
      </w:r>
    </w:p>
    <w:p w:rsidR="00B260A3" w:rsidRDefault="00B46711">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B260A3" w:rsidRDefault="00B46711">
      <w:pPr>
        <w:rPr>
          <w:rFonts w:ascii="Arial" w:eastAsia="Arial" w:hAnsi="Arial"/>
          <w:sz w:val="24"/>
          <w:szCs w:val="24"/>
        </w:rPr>
      </w:pPr>
      <w:r>
        <w:rPr>
          <w:rFonts w:ascii="Arial" w:eastAsia="Arial" w:hAnsi="Arial"/>
          <w:sz w:val="24"/>
          <w:szCs w:val="24"/>
        </w:rPr>
        <w:t>If there is a staff transfer from former/incumbent supplier on entry (2nd generation), Part B shall a</w:t>
      </w:r>
      <w:r>
        <w:rPr>
          <w:rFonts w:ascii="Arial" w:eastAsia="Arial" w:hAnsi="Arial"/>
          <w:sz w:val="24"/>
          <w:szCs w:val="24"/>
        </w:rPr>
        <w:t>pply.</w:t>
      </w:r>
    </w:p>
    <w:p w:rsidR="00B260A3" w:rsidRDefault="00B46711">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B260A3" w:rsidRDefault="00B46711">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w:t>
      </w:r>
      <w:r>
        <w:rPr>
          <w:rFonts w:ascii="Arial" w:eastAsia="Arial" w:hAnsi="Arial"/>
          <w:sz w:val="24"/>
          <w:szCs w:val="24"/>
        </w:rPr>
        <w:t xml:space="preserve"> Annex shall apply (either D1 (CSPS), D2 (NHSPS), D3 (LGPS) or D4 (Other Schemes)). Part D pensions may also apply where there is not a TUPE transfer for example where the incumbent provider is successful.</w:t>
      </w:r>
    </w:p>
    <w:p w:rsidR="00B260A3" w:rsidRDefault="00B46711">
      <w:pPr>
        <w:rPr>
          <w:rFonts w:ascii="Arial" w:eastAsia="Arial" w:hAnsi="Arial"/>
          <w:sz w:val="24"/>
          <w:szCs w:val="24"/>
        </w:rPr>
      </w:pPr>
      <w:r>
        <w:rPr>
          <w:rFonts w:ascii="Arial" w:eastAsia="Arial" w:hAnsi="Arial"/>
          <w:sz w:val="24"/>
          <w:szCs w:val="24"/>
        </w:rPr>
        <w:t>If there is no staff transfer (either 1st generati</w:t>
      </w:r>
      <w:r>
        <w:rPr>
          <w:rFonts w:ascii="Arial" w:eastAsia="Arial" w:hAnsi="Arial"/>
          <w:sz w:val="24"/>
          <w:szCs w:val="24"/>
        </w:rPr>
        <w:t>on or 2nd generation) at the Start Date then Part C shall apply and Part D pensions may also apply where there is not a TUPE transfer for example where the incumbent provider is successful.</w:t>
      </w:r>
    </w:p>
    <w:p w:rsidR="00B260A3" w:rsidRDefault="00B46711">
      <w:pPr>
        <w:rPr>
          <w:rFonts w:ascii="Arial" w:eastAsia="Arial" w:hAnsi="Arial"/>
          <w:sz w:val="24"/>
          <w:szCs w:val="24"/>
        </w:rPr>
      </w:pPr>
      <w:r>
        <w:rPr>
          <w:rFonts w:ascii="Arial" w:eastAsia="Arial" w:hAnsi="Arial"/>
          <w:sz w:val="24"/>
          <w:szCs w:val="24"/>
        </w:rPr>
        <w:t xml:space="preserve">If the position on staff transfers is not known at the bid stage, </w:t>
      </w:r>
      <w:r>
        <w:rPr>
          <w:rFonts w:ascii="Arial" w:eastAsia="Arial" w:hAnsi="Arial"/>
          <w:sz w:val="24"/>
          <w:szCs w:val="24"/>
        </w:rPr>
        <w:t>include Parts A, B, C and D at the bid stage and then update the Buyer Contract Details before signing to specify whether Parts A and/or B, or C and D apply to the Contract.</w:t>
      </w:r>
    </w:p>
    <w:p w:rsidR="00B260A3" w:rsidRDefault="00B46711">
      <w:pPr>
        <w:rPr>
          <w:rFonts w:ascii="Arial" w:eastAsia="Arial" w:hAnsi="Arial"/>
          <w:sz w:val="24"/>
          <w:szCs w:val="24"/>
        </w:rPr>
      </w:pPr>
      <w:r>
        <w:rPr>
          <w:rFonts w:ascii="Arial" w:eastAsia="Arial" w:hAnsi="Arial"/>
          <w:sz w:val="24"/>
          <w:szCs w:val="24"/>
        </w:rPr>
        <w:t>Part E (dealing with staff transfer on exit) shall apply to every Contract.</w:t>
      </w:r>
    </w:p>
    <w:p w:rsidR="00B260A3" w:rsidRDefault="00B46711">
      <w:pPr>
        <w:rPr>
          <w:rFonts w:ascii="Arial" w:eastAsia="Arial" w:hAnsi="Arial"/>
          <w:sz w:val="24"/>
          <w:szCs w:val="24"/>
        </w:rPr>
      </w:pPr>
      <w:r>
        <w:rPr>
          <w:rFonts w:ascii="Arial" w:eastAsia="Arial" w:hAnsi="Arial"/>
          <w:sz w:val="24"/>
          <w:szCs w:val="24"/>
        </w:rPr>
        <w:t>For fu</w:t>
      </w:r>
      <w:r>
        <w:rPr>
          <w:rFonts w:ascii="Arial" w:eastAsia="Arial" w:hAnsi="Arial"/>
          <w:sz w:val="24"/>
          <w:szCs w:val="24"/>
        </w:rPr>
        <w:t>rther guidance on this Schedule contact Government Legal Department’s Employment Law Group]</w:t>
      </w:r>
    </w:p>
    <w:p w:rsidR="00B260A3" w:rsidRDefault="00B260A3">
      <w:pPr>
        <w:keepNext/>
        <w:pBdr>
          <w:top w:val="nil"/>
          <w:left w:val="nil"/>
          <w:bottom w:val="nil"/>
          <w:right w:val="nil"/>
          <w:between w:val="nil"/>
        </w:pBdr>
        <w:rPr>
          <w:rFonts w:ascii="Arial" w:eastAsia="Arial" w:hAnsi="Arial"/>
          <w:b/>
          <w:smallCaps/>
          <w:color w:val="000000"/>
          <w:sz w:val="24"/>
          <w:szCs w:val="24"/>
        </w:rPr>
      </w:pPr>
    </w:p>
    <w:p w:rsidR="00B260A3" w:rsidRDefault="00B46711">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260A3" w:rsidRDefault="00B46711">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B260A3">
        <w:trPr>
          <w:cantSplit/>
        </w:trPr>
        <w:tc>
          <w:tcPr>
            <w:tcW w:w="2917" w:type="dxa"/>
          </w:tcPr>
          <w:p w:rsidR="00B260A3" w:rsidRDefault="00B46711">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B260A3" w:rsidRDefault="00B46711">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w:t>
            </w:r>
            <w:r>
              <w:rPr>
                <w:rFonts w:ascii="Arial" w:eastAsia="Arial" w:hAnsi="Arial"/>
                <w:sz w:val="24"/>
                <w:szCs w:val="24"/>
              </w:rPr>
              <w:t>gs or businesses, as amended or re-enacted from time to time;</w:t>
            </w:r>
          </w:p>
          <w:p w:rsidR="00B260A3" w:rsidRDefault="00B260A3">
            <w:pPr>
              <w:numPr>
                <w:ilvl w:val="0"/>
                <w:numId w:val="8"/>
              </w:numPr>
              <w:tabs>
                <w:tab w:val="left" w:pos="-179"/>
                <w:tab w:val="left" w:pos="-9"/>
              </w:tabs>
              <w:spacing w:after="120"/>
              <w:rPr>
                <w:rFonts w:ascii="Arial" w:eastAsia="Arial" w:hAnsi="Arial"/>
                <w:sz w:val="24"/>
                <w:szCs w:val="24"/>
              </w:rPr>
            </w:pPr>
          </w:p>
        </w:tc>
      </w:tr>
      <w:tr w:rsidR="00B260A3">
        <w:trPr>
          <w:cantSplit/>
        </w:trPr>
        <w:tc>
          <w:tcPr>
            <w:tcW w:w="2917" w:type="dxa"/>
          </w:tcPr>
          <w:p w:rsidR="00B260A3" w:rsidRDefault="00B46711">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B260A3" w:rsidRDefault="00B46711">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B260A3" w:rsidRDefault="00B46711">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B260A3">
        <w:trPr>
          <w:cantSplit/>
        </w:trPr>
        <w:tc>
          <w:tcPr>
            <w:tcW w:w="2917" w:type="dxa"/>
          </w:tcPr>
          <w:p w:rsidR="00B260A3" w:rsidRDefault="00B260A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260A3" w:rsidRDefault="00B46711">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B260A3">
        <w:trPr>
          <w:cantSplit/>
        </w:trPr>
        <w:tc>
          <w:tcPr>
            <w:tcW w:w="2917" w:type="dxa"/>
          </w:tcPr>
          <w:p w:rsidR="00B260A3" w:rsidRDefault="00B260A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260A3" w:rsidRDefault="00B46711">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B260A3">
        <w:trPr>
          <w:cantSplit/>
        </w:trPr>
        <w:tc>
          <w:tcPr>
            <w:tcW w:w="2917" w:type="dxa"/>
          </w:tcPr>
          <w:p w:rsidR="00B260A3" w:rsidRDefault="00B260A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260A3" w:rsidRDefault="00B46711">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B260A3">
        <w:trPr>
          <w:cantSplit/>
        </w:trPr>
        <w:tc>
          <w:tcPr>
            <w:tcW w:w="2917" w:type="dxa"/>
          </w:tcPr>
          <w:p w:rsidR="00B260A3" w:rsidRDefault="00B260A3">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260A3" w:rsidRDefault="00B46711">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B260A3">
        <w:trPr>
          <w:cantSplit/>
        </w:trPr>
        <w:tc>
          <w:tcPr>
            <w:tcW w:w="2917" w:type="dxa"/>
          </w:tcPr>
          <w:p w:rsidR="00B260A3" w:rsidRDefault="00B260A3">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260A3" w:rsidRDefault="00B46711">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B260A3">
        <w:trPr>
          <w:cantSplit/>
        </w:trPr>
        <w:tc>
          <w:tcPr>
            <w:tcW w:w="2917" w:type="dxa"/>
          </w:tcPr>
          <w:p w:rsidR="00B260A3" w:rsidRDefault="00B260A3">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B260A3" w:rsidRDefault="00B46711">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B260A3" w:rsidRDefault="00B46711">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B260A3">
        <w:trPr>
          <w:cantSplit/>
          <w:trHeight w:val="3560"/>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B260A3" w:rsidRDefault="00B46711">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B260A3" w:rsidRDefault="00B46711">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B260A3" w:rsidRDefault="00B46711">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B260A3">
        <w:trPr>
          <w:cantSplit/>
          <w:trHeight w:val="1824"/>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B260A3" w:rsidRDefault="00B46711">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B260A3" w:rsidRDefault="00B46711">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B260A3" w:rsidRDefault="00B46711">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B260A3" w:rsidRDefault="00B46711">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B260A3">
        <w:trPr>
          <w:cantSplit/>
        </w:trPr>
        <w:tc>
          <w:tcPr>
            <w:tcW w:w="2917" w:type="dxa"/>
          </w:tcPr>
          <w:p w:rsidR="00B260A3" w:rsidRDefault="00B46711">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B260A3" w:rsidRDefault="00B46711">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B260A3" w:rsidRDefault="00B46711">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B260A3">
        <w:trPr>
          <w:cantSplit/>
        </w:trPr>
        <w:tc>
          <w:tcPr>
            <w:tcW w:w="2917" w:type="dxa"/>
          </w:tcPr>
          <w:p w:rsidR="00B260A3" w:rsidRDefault="00B260A3">
            <w:pPr>
              <w:pBdr>
                <w:top w:val="nil"/>
                <w:left w:val="nil"/>
                <w:bottom w:val="nil"/>
                <w:right w:val="nil"/>
                <w:between w:val="nil"/>
              </w:pBdr>
              <w:spacing w:before="120" w:after="120"/>
              <w:ind w:left="709"/>
              <w:rPr>
                <w:rFonts w:ascii="Arial" w:eastAsia="Arial" w:hAnsi="Arial"/>
                <w:b/>
                <w:color w:val="000000"/>
                <w:sz w:val="24"/>
                <w:szCs w:val="24"/>
              </w:rPr>
            </w:pPr>
          </w:p>
          <w:p w:rsidR="00B260A3" w:rsidRDefault="00B260A3">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B260A3" w:rsidRDefault="00B46711">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B260A3" w:rsidRDefault="00B46711">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B260A3" w:rsidRDefault="00B46711">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B260A3" w:rsidRDefault="00B46711">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B260A3" w:rsidRDefault="00B46711">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B260A3">
        <w:trPr>
          <w:cantSplit/>
        </w:trPr>
        <w:tc>
          <w:tcPr>
            <w:tcW w:w="2917" w:type="dxa"/>
          </w:tcPr>
          <w:p w:rsidR="00B260A3" w:rsidRDefault="00B46711">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B260A3" w:rsidRDefault="00B46711">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B260A3" w:rsidRDefault="00B46711">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B260A3" w:rsidRDefault="00B46711">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B260A3" w:rsidRDefault="00B46711">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B260A3" w:rsidRDefault="00B46711">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Call-Off Contract has no right under the CRTPA to enforce any term of this Call-Off Contract but this does not affect any right or remedy of any person which exists or is available otherwi</w:t>
      </w:r>
      <w:r>
        <w:rPr>
          <w:rFonts w:ascii="Arial" w:eastAsia="Arial" w:hAnsi="Arial"/>
          <w:color w:val="000000"/>
          <w:sz w:val="24"/>
          <w:szCs w:val="24"/>
        </w:rPr>
        <w:t xml:space="preserve">se than pursuant to that Act. </w:t>
      </w:r>
    </w:p>
    <w:p w:rsidR="00B260A3" w:rsidRDefault="00B46711">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w:t>
      </w:r>
      <w:r>
        <w:rPr>
          <w:rFonts w:ascii="Arial" w:eastAsia="Arial" w:hAnsi="Arial"/>
          <w:color w:val="000000"/>
          <w:sz w:val="24"/>
          <w:szCs w:val="24"/>
        </w:rPr>
        <w:t>ine.</w:t>
      </w:r>
    </w:p>
    <w:p w:rsidR="00B260A3" w:rsidRDefault="00B46711">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B260A3" w:rsidRDefault="00B46711">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w:t>
      </w:r>
      <w:r>
        <w:rPr>
          <w:rFonts w:ascii="Arial Bold" w:eastAsia="Arial Bold" w:hAnsi="Arial Bold" w:cs="Arial Bold"/>
          <w:b/>
          <w:color w:val="000000"/>
          <w:sz w:val="24"/>
          <w:szCs w:val="24"/>
        </w:rPr>
        <w:t>pply</w:t>
      </w:r>
    </w:p>
    <w:p w:rsidR="00B260A3" w:rsidRDefault="00B46711">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B260A3" w:rsidRDefault="00B46711">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B260A3" w:rsidRDefault="00B46711">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B260A3" w:rsidRDefault="00B46711">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B260A3" w:rsidRDefault="00B46711">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B260A3" w:rsidRDefault="00B46711">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260A3" w:rsidRDefault="00B46711">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260A3" w:rsidRDefault="00B46711">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260A3" w:rsidRDefault="00B46711">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B260A3" w:rsidRDefault="00B46711">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B260A3" w:rsidRDefault="00B46711">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B260A3" w:rsidRDefault="00B260A3">
      <w:pPr>
        <w:ind w:left="357"/>
        <w:rPr>
          <w:rFonts w:ascii="Arial" w:eastAsia="Arial" w:hAnsi="Arial"/>
          <w:sz w:val="24"/>
          <w:szCs w:val="24"/>
        </w:rPr>
      </w:pPr>
    </w:p>
    <w:p w:rsidR="00B260A3" w:rsidRDefault="00B46711">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B260A3" w:rsidRDefault="00B46711">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B260A3" w:rsidRDefault="00B46711">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rsidR="00B260A3" w:rsidRDefault="00B46711">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B260A3" w:rsidRDefault="00B46711">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rsidR="00B260A3" w:rsidRDefault="00B46711">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B260A3" w:rsidRDefault="00B46711">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B260A3" w:rsidRDefault="00B46711">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w:t>
      </w:r>
      <w:r>
        <w:rPr>
          <w:rFonts w:ascii="Arial" w:eastAsia="Arial" w:hAnsi="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B260A3" w:rsidRDefault="00B46711">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B260A3" w:rsidRDefault="00B46711">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B260A3" w:rsidRDefault="00B260A3">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260A3" w:rsidRDefault="00B46711">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B260A3" w:rsidRDefault="00B260A3">
      <w:pPr>
        <w:pBdr>
          <w:top w:val="nil"/>
          <w:left w:val="nil"/>
          <w:bottom w:val="nil"/>
          <w:right w:val="nil"/>
          <w:between w:val="nil"/>
        </w:pBdr>
        <w:spacing w:before="120" w:after="120"/>
        <w:ind w:left="2214" w:hanging="1080"/>
        <w:rPr>
          <w:rFonts w:ascii="Arial" w:eastAsia="Arial" w:hAnsi="Arial"/>
          <w:color w:val="000000"/>
          <w:sz w:val="24"/>
          <w:szCs w:val="24"/>
        </w:rPr>
      </w:pPr>
    </w:p>
    <w:p w:rsidR="00B260A3" w:rsidRDefault="00B46711">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B260A3" w:rsidRDefault="00B46711">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B260A3" w:rsidRDefault="00B46711">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B260A3" w:rsidRDefault="00B46711">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w:t>
      </w:r>
      <w:r>
        <w:rPr>
          <w:rFonts w:ascii="Arial" w:eastAsia="Arial" w:hAnsi="Arial"/>
          <w:color w:val="000000"/>
          <w:sz w:val="24"/>
          <w:szCs w:val="24"/>
        </w:rPr>
        <w:t xml:space="preserve">takes, all reasonable steps to minimise any such Employee Liabilities. </w:t>
      </w:r>
    </w:p>
    <w:p w:rsidR="00B260A3" w:rsidRDefault="00B46711">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B260A3" w:rsidRDefault="00B46711">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B260A3" w:rsidRDefault="00B46711">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B260A3" w:rsidRDefault="00B46711">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B260A3" w:rsidRDefault="00B46711">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B260A3" w:rsidRDefault="00B46711">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B260A3" w:rsidRDefault="00B46711">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w:t>
      </w:r>
      <w:r>
        <w:rPr>
          <w:rFonts w:ascii="Arial" w:eastAsia="Arial" w:hAnsi="Arial"/>
          <w:color w:val="000000"/>
          <w:sz w:val="24"/>
          <w:szCs w:val="24"/>
        </w:rPr>
        <w:t xml:space="preserve">ployee representative (as defined in the Employment Regulations) of any Transferring Buyer Employee whether occurring before, on or after the Relevant Transfer Date;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w:t>
      </w:r>
      <w:r>
        <w:rPr>
          <w:rFonts w:ascii="Arial" w:eastAsia="Arial" w:hAnsi="Arial"/>
          <w:color w:val="000000"/>
          <w:sz w:val="24"/>
          <w:szCs w:val="24"/>
        </w:rPr>
        <w:t>t Transfer Date of:</w:t>
      </w:r>
    </w:p>
    <w:p w:rsidR="00B260A3" w:rsidRDefault="00B46711">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B260A3" w:rsidRDefault="00B46711">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B260A3" w:rsidRDefault="00B46711">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B260A3" w:rsidRDefault="00B46711">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Employees in respect of the period from (and including) the Relevant Transfer Date;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w:t>
      </w:r>
      <w:r>
        <w:rPr>
          <w:rFonts w:ascii="Arial" w:eastAsia="Arial" w:hAnsi="Arial"/>
          <w:color w:val="000000"/>
          <w:sz w:val="24"/>
          <w:szCs w:val="24"/>
        </w:rPr>
        <w:t>oyee representative (as defined in the Employment Regulations) of any Transferring Buyer Employee relating to any act or omission of the Supplier or any Subcontractor in relation to their obligations under regulation 13 of the Employment Regulations, excep</w:t>
      </w:r>
      <w:r>
        <w:rPr>
          <w:rFonts w:ascii="Arial" w:eastAsia="Arial" w:hAnsi="Arial"/>
          <w:color w:val="000000"/>
          <w:sz w:val="24"/>
          <w:szCs w:val="24"/>
        </w:rPr>
        <w:t>t to the extent that the liability arises from the Buyer’s failure to comply with its obligations under regulation 13 of the Employment Regulations; and</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w:t>
      </w:r>
      <w:r>
        <w:rPr>
          <w:rFonts w:ascii="Arial" w:eastAsia="Arial" w:hAnsi="Arial"/>
          <w:color w:val="000000"/>
          <w:sz w:val="24"/>
          <w:szCs w:val="24"/>
        </w:rPr>
        <w:t>e.</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B260A3" w:rsidRDefault="00B46711">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B260A3" w:rsidRDefault="00B46711">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B260A3" w:rsidRDefault="00B46711">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lastRenderedPageBreak/>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B260A3" w:rsidRDefault="00B260A3">
      <w:pPr>
        <w:pBdr>
          <w:top w:val="nil"/>
          <w:left w:val="nil"/>
          <w:bottom w:val="nil"/>
          <w:right w:val="nil"/>
          <w:between w:val="nil"/>
        </w:pBdr>
        <w:spacing w:before="120" w:after="120"/>
        <w:ind w:left="2214" w:hanging="1080"/>
        <w:rPr>
          <w:rFonts w:eastAsia="Calibri" w:cs="Calibri"/>
          <w:color w:val="000000"/>
        </w:rPr>
      </w:pPr>
    </w:p>
    <w:p w:rsidR="00B260A3" w:rsidRDefault="00B46711">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B260A3" w:rsidRDefault="00B46711">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B260A3" w:rsidRDefault="00B46711">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B260A3" w:rsidRDefault="00B46711">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B260A3" w:rsidRDefault="00B46711">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lastRenderedPageBreak/>
        <w:t xml:space="preserve">Part B: Staff transfer at the Start Date </w:t>
      </w:r>
    </w:p>
    <w:p w:rsidR="00B260A3" w:rsidRDefault="00B46711">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B260A3" w:rsidRDefault="00B46711">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B260A3" w:rsidRDefault="00B46711">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B260A3" w:rsidRDefault="00B46711">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w:t>
      </w:r>
      <w:r>
        <w:rPr>
          <w:rFonts w:ascii="Arial" w:eastAsia="Arial" w:hAnsi="Arial"/>
          <w:color w:val="000000"/>
          <w:sz w:val="24"/>
          <w:szCs w:val="24"/>
        </w:rPr>
        <w:t>t Transfer Date;</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w:t>
      </w:r>
      <w:r>
        <w:rPr>
          <w:rFonts w:ascii="Arial" w:eastAsia="Arial" w:hAnsi="Arial"/>
          <w:sz w:val="24"/>
          <w:szCs w:val="24"/>
        </w:rPr>
        <w:t>ability</w:t>
      </w:r>
      <w:r>
        <w:rPr>
          <w:rFonts w:ascii="Arial" w:eastAsia="Arial" w:hAnsi="Arial"/>
          <w:color w:val="000000"/>
          <w:sz w:val="24"/>
          <w:szCs w:val="24"/>
        </w:rPr>
        <w:t xml:space="preserve"> arises from the failure by the Supplier or any Subcontractor to comply with regulation 13(4) of the Employment Regulations.</w:t>
      </w:r>
    </w:p>
    <w:p w:rsidR="00B260A3" w:rsidRDefault="00B260A3">
      <w:pPr>
        <w:pBdr>
          <w:top w:val="nil"/>
          <w:left w:val="nil"/>
          <w:bottom w:val="nil"/>
          <w:right w:val="nil"/>
          <w:between w:val="nil"/>
        </w:pBdr>
        <w:spacing w:before="120" w:after="120"/>
        <w:ind w:left="2214" w:hanging="1080"/>
        <w:rPr>
          <w:rFonts w:eastAsia="Calibri" w:cs="Calibri"/>
          <w:color w:val="000000"/>
        </w:rPr>
      </w:pP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w:t>
      </w:r>
      <w:r>
        <w:rPr>
          <w:rFonts w:ascii="Arial" w:eastAsia="Arial" w:hAnsi="Arial"/>
          <w:color w:val="000000"/>
          <w:sz w:val="24"/>
          <w:szCs w:val="24"/>
        </w:rPr>
        <w:t>er Date including, without limitation, any Employee Liabilities:</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B260A3" w:rsidRDefault="00B46711">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B260A3" w:rsidRDefault="00B46711">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B260A3" w:rsidRDefault="00B46711">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B260A3" w:rsidRDefault="00B46711">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B260A3" w:rsidRDefault="00B46711">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 xml:space="preserve">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B260A3" w:rsidRDefault="00B46711">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B260A3" w:rsidRDefault="00B46711">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B260A3" w:rsidRDefault="00B46711">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B260A3" w:rsidRDefault="00B46711">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B260A3" w:rsidRDefault="00B46711">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B260A3" w:rsidRDefault="00B46711">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 any such per</w:t>
      </w:r>
      <w:r>
        <w:rPr>
          <w:rFonts w:ascii="Arial" w:eastAsia="Arial" w:hAnsi="Arial"/>
          <w:color w:val="000000"/>
          <w:sz w:val="24"/>
          <w:szCs w:val="24"/>
        </w:rPr>
        <w:t>son as is described in Paragraph 2.3 is neither re-employed by the Former Supplier nor dismissed by the Supplier and/or any Subcontractor within the time scales set out in Paragraph 2.5, such person shall be treated as having transferred to the Supplier an</w:t>
      </w:r>
      <w:r>
        <w:rPr>
          <w:rFonts w:ascii="Arial" w:eastAsia="Arial" w:hAnsi="Arial"/>
          <w:color w:val="000000"/>
          <w:sz w:val="24"/>
          <w:szCs w:val="24"/>
        </w:rPr>
        <w:t>d/or any Subcontractor and the Supplier shall, or shall procure that the Subcontractor shall, comply with such obligations as may be imposed upon it under applicable Law.</w:t>
      </w:r>
    </w:p>
    <w:p w:rsidR="00B260A3" w:rsidRDefault="00B46711">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B260A3" w:rsidRDefault="00B46711">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B260A3" w:rsidRDefault="00B260A3">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B260A3" w:rsidRDefault="00B46711">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B260A3" w:rsidRDefault="00B46711">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 xml:space="preserve">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B260A3" w:rsidRDefault="00B46711">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B260A3" w:rsidRDefault="00B46711">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B260A3" w:rsidRDefault="00B46711">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B260A3" w:rsidRDefault="00B46711">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B260A3" w:rsidRDefault="00B46711">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B260A3" w:rsidRDefault="00B46711">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B260A3" w:rsidRDefault="00B46711">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B260A3" w:rsidRDefault="00B260A3">
      <w:pPr>
        <w:rPr>
          <w:rFonts w:ascii="Arial" w:eastAsia="Arial" w:hAnsi="Arial"/>
          <w:sz w:val="24"/>
          <w:szCs w:val="24"/>
        </w:rPr>
      </w:pPr>
    </w:p>
    <w:p w:rsidR="00B260A3" w:rsidRDefault="00B260A3">
      <w:pPr>
        <w:rPr>
          <w:rFonts w:ascii="Arial" w:eastAsia="Arial" w:hAnsi="Arial"/>
          <w:sz w:val="24"/>
          <w:szCs w:val="24"/>
        </w:rPr>
      </w:pPr>
    </w:p>
    <w:p w:rsidR="00B260A3" w:rsidRDefault="00B46711">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w:t>
      </w:r>
      <w:r>
        <w:rPr>
          <w:rFonts w:ascii="Arial Bold" w:eastAsia="Arial Bold" w:hAnsi="Arial Bold" w:cs="Arial Bold"/>
          <w:sz w:val="36"/>
          <w:szCs w:val="36"/>
        </w:rPr>
        <w:t xml:space="preserve"> No Staff Transfer on the Start Date</w:t>
      </w:r>
    </w:p>
    <w:p w:rsidR="00B260A3" w:rsidRDefault="00B46711">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B260A3" w:rsidRDefault="00B46711">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B260A3" w:rsidRDefault="00B46711">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B260A3" w:rsidRDefault="00B46711">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B260A3" w:rsidRDefault="00B46711">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B260A3" w:rsidRDefault="00B46711">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B260A3" w:rsidRDefault="00B260A3">
      <w:pPr>
        <w:pBdr>
          <w:top w:val="nil"/>
          <w:left w:val="nil"/>
          <w:bottom w:val="nil"/>
          <w:right w:val="nil"/>
          <w:between w:val="nil"/>
        </w:pBdr>
        <w:spacing w:before="120" w:after="120"/>
        <w:ind w:left="1134" w:hanging="1080"/>
        <w:rPr>
          <w:rFonts w:ascii="Arial" w:eastAsia="Arial" w:hAnsi="Arial"/>
          <w:color w:val="000000"/>
          <w:sz w:val="24"/>
          <w:szCs w:val="24"/>
        </w:rPr>
      </w:pPr>
    </w:p>
    <w:p w:rsidR="00B260A3" w:rsidRDefault="00B46711">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 xml:space="preserve">loyment of any of the Buyer's employees referred to in Paragraph 1.2 made pursuant to the provisions of Paragraph 1.4 </w:t>
      </w:r>
      <w:r>
        <w:rPr>
          <w:rFonts w:ascii="Arial" w:eastAsia="Arial" w:hAnsi="Arial"/>
          <w:color w:val="000000"/>
          <w:sz w:val="24"/>
          <w:szCs w:val="24"/>
        </w:rPr>
        <w:lastRenderedPageBreak/>
        <w:t>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B260A3" w:rsidRDefault="00B46711">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B260A3" w:rsidRDefault="00B46711">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B260A3" w:rsidRDefault="00B260A3">
      <w:pPr>
        <w:keepNext/>
        <w:pBdr>
          <w:top w:val="nil"/>
          <w:left w:val="nil"/>
          <w:bottom w:val="nil"/>
          <w:right w:val="nil"/>
          <w:between w:val="nil"/>
        </w:pBdr>
        <w:tabs>
          <w:tab w:val="left" w:pos="993"/>
        </w:tabs>
        <w:spacing w:before="120" w:after="120"/>
        <w:ind w:left="720" w:hanging="720"/>
        <w:rPr>
          <w:rFonts w:eastAsia="Calibri" w:cs="Calibri"/>
          <w:color w:val="000000"/>
        </w:rPr>
      </w:pPr>
    </w:p>
    <w:p w:rsidR="00B260A3" w:rsidRDefault="00B46711">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B260A3" w:rsidRDefault="00B46711">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B260A3" w:rsidRDefault="00B46711">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B260A3" w:rsidRDefault="00B46711">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B260A3" w:rsidRDefault="00B46711">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B260A3" w:rsidRDefault="00B46711">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B260A3" w:rsidRDefault="00B46711">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B260A3" w:rsidRDefault="00B46711">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B260A3" w:rsidRDefault="00B46711">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B260A3" w:rsidRDefault="00B46711">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B260A3" w:rsidRDefault="00B46711">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B260A3" w:rsidRDefault="00B46711">
      <w:pPr>
        <w:rPr>
          <w:rFonts w:ascii="Arial" w:eastAsia="Arial" w:hAnsi="Arial"/>
        </w:rPr>
      </w:pPr>
      <w:r>
        <w:rPr>
          <w:rFonts w:ascii="Arial" w:eastAsia="Arial" w:hAnsi="Arial"/>
          <w:b/>
          <w:sz w:val="24"/>
          <w:szCs w:val="24"/>
          <w:highlight w:val="yellow"/>
        </w:rPr>
        <w:t xml:space="preserve">[Guidance: </w:t>
      </w:r>
      <w:r>
        <w:rPr>
          <w:rFonts w:ascii="Arial" w:eastAsia="Arial" w:hAnsi="Arial"/>
          <w:b/>
          <w:sz w:val="24"/>
          <w:szCs w:val="24"/>
          <w:highlight w:val="yellow"/>
        </w:rPr>
        <w:t xml:space="preserve">You should take specific legal advice on this Part D. Please also note that this Part D is drafted to reflect the requirements of New Fair Deal. Accordingly, where a contracting authority is a best value authority it will be subject to the requirements of </w:t>
      </w:r>
      <w:r>
        <w:rPr>
          <w:rFonts w:ascii="Arial" w:eastAsia="Arial" w:hAnsi="Arial"/>
          <w:b/>
          <w:sz w:val="24"/>
          <w:szCs w:val="24"/>
          <w:highlight w:val="yellow"/>
        </w:rPr>
        <w:t>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B260A3" w:rsidRDefault="00B46711">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B260A3" w:rsidRDefault="00B46711">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B260A3">
        <w:trPr>
          <w:cantSplit/>
        </w:trPr>
        <w:tc>
          <w:tcPr>
            <w:tcW w:w="3404" w:type="dxa"/>
            <w:shd w:val="clear" w:color="auto" w:fill="auto"/>
          </w:tcPr>
          <w:p w:rsidR="00B260A3" w:rsidRDefault="00B46711">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w:t>
            </w:r>
            <w:r>
              <w:rPr>
                <w:rFonts w:ascii="Arial" w:eastAsia="Arial" w:hAnsi="Arial"/>
                <w:color w:val="000000"/>
                <w:sz w:val="24"/>
                <w:szCs w:val="24"/>
              </w:rPr>
              <w:t xml:space="preserve"> Institute and Faculty of Actuaries;</w:t>
            </w:r>
          </w:p>
        </w:tc>
      </w:tr>
      <w:tr w:rsidR="00B260A3">
        <w:trPr>
          <w:cantSplit/>
        </w:trPr>
        <w:tc>
          <w:tcPr>
            <w:tcW w:w="3404" w:type="dxa"/>
            <w:shd w:val="clear" w:color="auto" w:fill="auto"/>
          </w:tcPr>
          <w:p w:rsidR="00B260A3" w:rsidRDefault="00B46711">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B260A3" w:rsidRDefault="00B46711">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B260A3">
        <w:trPr>
          <w:cantSplit/>
        </w:trPr>
        <w:tc>
          <w:tcPr>
            <w:tcW w:w="3404" w:type="dxa"/>
            <w:shd w:val="clear" w:color="auto" w:fill="auto"/>
          </w:tcPr>
          <w:p w:rsidR="00B260A3" w:rsidRDefault="00B46711">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B260A3" w:rsidRDefault="00B46711">
            <w:pPr>
              <w:widowControl w:val="0"/>
              <w:spacing w:after="0"/>
              <w:rPr>
                <w:rFonts w:ascii="Arial" w:eastAsia="Arial" w:hAnsi="Arial"/>
                <w:sz w:val="24"/>
                <w:szCs w:val="24"/>
              </w:rPr>
            </w:pPr>
            <w:r>
              <w:rPr>
                <w:rFonts w:ascii="Arial" w:eastAsia="Arial" w:hAnsi="Arial"/>
                <w:sz w:val="24"/>
                <w:szCs w:val="24"/>
              </w:rPr>
              <w:t>the B</w:t>
            </w:r>
            <w:r>
              <w:rPr>
                <w:rFonts w:ascii="Arial" w:eastAsia="Arial" w:hAnsi="Arial"/>
                <w:sz w:val="24"/>
                <w:szCs w:val="24"/>
              </w:rPr>
              <w:t>est Value Authorities Staff Transfers (Pensions) Direction 2007 or the Welsh Authorities Staff Transfers (Pensions) Direction 2012 (as appropriate);</w:t>
            </w:r>
          </w:p>
          <w:p w:rsidR="00B260A3" w:rsidRDefault="00B260A3">
            <w:pPr>
              <w:tabs>
                <w:tab w:val="left" w:pos="235"/>
              </w:tabs>
              <w:spacing w:before="120" w:after="120"/>
              <w:rPr>
                <w:rFonts w:ascii="Arial" w:eastAsia="Arial" w:hAnsi="Arial"/>
                <w:sz w:val="24"/>
                <w:szCs w:val="24"/>
              </w:rPr>
            </w:pP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B260A3" w:rsidRDefault="00B46711">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B260A3">
        <w:trPr>
          <w:cantSplit/>
        </w:trPr>
        <w:tc>
          <w:tcPr>
            <w:tcW w:w="3404" w:type="dxa"/>
            <w:shd w:val="clear" w:color="auto" w:fill="auto"/>
          </w:tcPr>
          <w:p w:rsidR="00B260A3" w:rsidRDefault="00B260A3">
            <w:pPr>
              <w:widowControl w:val="0"/>
              <w:spacing w:before="120" w:after="120"/>
              <w:ind w:left="720"/>
              <w:rPr>
                <w:rFonts w:ascii="Arial" w:eastAsia="Arial" w:hAnsi="Arial"/>
                <w:b/>
                <w:sz w:val="24"/>
                <w:szCs w:val="24"/>
              </w:rPr>
            </w:pPr>
          </w:p>
        </w:tc>
        <w:tc>
          <w:tcPr>
            <w:tcW w:w="5622" w:type="dxa"/>
            <w:shd w:val="clear" w:color="auto" w:fill="auto"/>
          </w:tcPr>
          <w:p w:rsidR="00B260A3" w:rsidRDefault="00B46711">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B260A3" w:rsidRDefault="00B46711">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B260A3" w:rsidRDefault="00B46711">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B260A3" w:rsidRDefault="00B46711">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B260A3" w:rsidRDefault="00B260A3">
            <w:pPr>
              <w:widowControl w:val="0"/>
              <w:spacing w:before="120" w:after="120"/>
              <w:rPr>
                <w:rFonts w:ascii="Arial" w:eastAsia="Arial" w:hAnsi="Arial"/>
                <w:sz w:val="24"/>
                <w:szCs w:val="24"/>
              </w:rPr>
            </w:pP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B260A3" w:rsidRDefault="00B46711">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w:t>
            </w:r>
            <w:r>
              <w:rPr>
                <w:rFonts w:ascii="Arial" w:eastAsia="Arial" w:hAnsi="Arial"/>
                <w:sz w:val="24"/>
                <w:szCs w:val="24"/>
              </w:rPr>
              <w:t>o and/or remains eligible to join a Broadly Comparable pension scheme at the relevant time in accordance with paragraph 10 or 11 of this Part D);</w:t>
            </w:r>
          </w:p>
          <w:p w:rsidR="00B260A3" w:rsidRDefault="00B260A3">
            <w:pPr>
              <w:widowControl w:val="0"/>
              <w:spacing w:before="120" w:after="120"/>
              <w:rPr>
                <w:rFonts w:ascii="Arial" w:eastAsia="Arial" w:hAnsi="Arial"/>
                <w:sz w:val="24"/>
                <w:szCs w:val="24"/>
              </w:rPr>
            </w:pP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B260A3" w:rsidRDefault="00B46711">
            <w:pPr>
              <w:widowControl w:val="0"/>
              <w:spacing w:before="120" w:after="120"/>
              <w:rPr>
                <w:rFonts w:ascii="Arial" w:eastAsia="Arial" w:hAnsi="Arial"/>
                <w:sz w:val="24"/>
                <w:szCs w:val="24"/>
              </w:rPr>
            </w:pPr>
            <w:r>
              <w:rPr>
                <w:rFonts w:ascii="Arial" w:eastAsia="Arial" w:hAnsi="Arial"/>
                <w:sz w:val="24"/>
                <w:szCs w:val="24"/>
              </w:rPr>
              <w:t>any of:</w:t>
            </w:r>
          </w:p>
          <w:p w:rsidR="00B260A3" w:rsidRDefault="00B46711">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B260A3">
        <w:trPr>
          <w:cantSplit/>
        </w:trPr>
        <w:tc>
          <w:tcPr>
            <w:tcW w:w="3404" w:type="dxa"/>
            <w:shd w:val="clear" w:color="auto" w:fill="auto"/>
          </w:tcPr>
          <w:p w:rsidR="00B260A3" w:rsidRDefault="00B260A3">
            <w:pPr>
              <w:widowControl w:val="0"/>
              <w:spacing w:before="120" w:after="120"/>
              <w:ind w:left="720"/>
              <w:rPr>
                <w:rFonts w:ascii="Arial" w:eastAsia="Arial" w:hAnsi="Arial"/>
                <w:b/>
                <w:sz w:val="24"/>
                <w:szCs w:val="24"/>
              </w:rPr>
            </w:pPr>
          </w:p>
        </w:tc>
        <w:tc>
          <w:tcPr>
            <w:tcW w:w="5622" w:type="dxa"/>
            <w:shd w:val="clear" w:color="auto" w:fill="auto"/>
          </w:tcPr>
          <w:p w:rsidR="00B260A3" w:rsidRDefault="00B46711">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B260A3">
        <w:trPr>
          <w:cantSplit/>
        </w:trPr>
        <w:tc>
          <w:tcPr>
            <w:tcW w:w="3404" w:type="dxa"/>
            <w:shd w:val="clear" w:color="auto" w:fill="auto"/>
          </w:tcPr>
          <w:p w:rsidR="00B260A3" w:rsidRDefault="00B260A3">
            <w:pPr>
              <w:widowControl w:val="0"/>
              <w:spacing w:before="120" w:after="120"/>
              <w:ind w:left="720"/>
              <w:rPr>
                <w:rFonts w:ascii="Arial" w:eastAsia="Arial" w:hAnsi="Arial"/>
                <w:b/>
                <w:sz w:val="24"/>
                <w:szCs w:val="24"/>
              </w:rPr>
            </w:pPr>
          </w:p>
        </w:tc>
        <w:tc>
          <w:tcPr>
            <w:tcW w:w="5622" w:type="dxa"/>
            <w:shd w:val="clear" w:color="auto" w:fill="auto"/>
          </w:tcPr>
          <w:p w:rsidR="00B260A3" w:rsidRDefault="00B46711">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B260A3">
        <w:trPr>
          <w:cantSplit/>
        </w:trPr>
        <w:tc>
          <w:tcPr>
            <w:tcW w:w="3404" w:type="dxa"/>
            <w:shd w:val="clear" w:color="auto" w:fill="auto"/>
          </w:tcPr>
          <w:p w:rsidR="00B260A3" w:rsidRDefault="00B260A3">
            <w:pPr>
              <w:keepNext/>
              <w:widowControl w:val="0"/>
              <w:spacing w:before="120" w:after="120"/>
              <w:ind w:left="720"/>
              <w:rPr>
                <w:rFonts w:ascii="Arial" w:eastAsia="Arial" w:hAnsi="Arial"/>
                <w:b/>
                <w:sz w:val="24"/>
                <w:szCs w:val="24"/>
              </w:rPr>
            </w:pPr>
          </w:p>
        </w:tc>
        <w:tc>
          <w:tcPr>
            <w:tcW w:w="5622" w:type="dxa"/>
            <w:shd w:val="clear" w:color="auto" w:fill="auto"/>
          </w:tcPr>
          <w:p w:rsidR="00B260A3" w:rsidRDefault="00B46711">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B260A3">
        <w:trPr>
          <w:cantSplit/>
        </w:trPr>
        <w:tc>
          <w:tcPr>
            <w:tcW w:w="3404" w:type="dxa"/>
            <w:shd w:val="clear" w:color="auto" w:fill="auto"/>
          </w:tcPr>
          <w:p w:rsidR="00B260A3" w:rsidRDefault="00B260A3">
            <w:pPr>
              <w:widowControl w:val="0"/>
              <w:spacing w:before="120" w:after="120"/>
              <w:ind w:left="720"/>
              <w:rPr>
                <w:rFonts w:ascii="Arial" w:eastAsia="Arial" w:hAnsi="Arial"/>
                <w:b/>
                <w:sz w:val="24"/>
                <w:szCs w:val="24"/>
              </w:rPr>
            </w:pPr>
          </w:p>
        </w:tc>
        <w:tc>
          <w:tcPr>
            <w:tcW w:w="5622" w:type="dxa"/>
            <w:shd w:val="clear" w:color="auto" w:fill="auto"/>
          </w:tcPr>
          <w:p w:rsidR="00B260A3" w:rsidRDefault="00B46711">
            <w:pPr>
              <w:widowControl w:val="0"/>
              <w:spacing w:before="120" w:after="120"/>
              <w:rPr>
                <w:rFonts w:ascii="Arial" w:eastAsia="Arial" w:hAnsi="Arial"/>
                <w:sz w:val="24"/>
                <w:szCs w:val="24"/>
              </w:rPr>
            </w:pPr>
            <w:r>
              <w:rPr>
                <w:rFonts w:ascii="Arial" w:eastAsia="Arial" w:hAnsi="Arial"/>
                <w:sz w:val="24"/>
                <w:szCs w:val="24"/>
              </w:rPr>
              <w:t>who at the Relevant Trans</w:t>
            </w:r>
            <w:r>
              <w:rPr>
                <w:rFonts w:ascii="Arial" w:eastAsia="Arial" w:hAnsi="Arial"/>
                <w:sz w:val="24"/>
                <w:szCs w:val="24"/>
              </w:rPr>
              <w:t>fer Date  are or become entitled to New Fair Deal or Best Value Direction protection in respect of any of the Statutory Schemes or a Broadly Comparable pension scheme provided in accordance with paragraph 10 of this Part D as notified by the Buyer;</w:t>
            </w:r>
          </w:p>
        </w:tc>
      </w:tr>
      <w:tr w:rsidR="00B260A3">
        <w:trPr>
          <w:cantSplit/>
        </w:trPr>
        <w:tc>
          <w:tcPr>
            <w:tcW w:w="3404" w:type="dxa"/>
            <w:shd w:val="clear" w:color="auto" w:fill="auto"/>
          </w:tcPr>
          <w:p w:rsidR="00B260A3" w:rsidRDefault="00B260A3">
            <w:pPr>
              <w:widowControl w:val="0"/>
              <w:spacing w:before="120" w:after="120"/>
              <w:ind w:left="720"/>
              <w:rPr>
                <w:rFonts w:ascii="Arial" w:eastAsia="Arial" w:hAnsi="Arial"/>
                <w:b/>
                <w:sz w:val="24"/>
                <w:szCs w:val="24"/>
              </w:rPr>
            </w:pPr>
          </w:p>
        </w:tc>
        <w:tc>
          <w:tcPr>
            <w:tcW w:w="5622" w:type="dxa"/>
            <w:shd w:val="clear" w:color="auto" w:fill="auto"/>
          </w:tcPr>
          <w:p w:rsidR="00B260A3" w:rsidRDefault="00B260A3">
            <w:pPr>
              <w:widowControl w:val="0"/>
              <w:spacing w:before="120" w:after="120"/>
              <w:rPr>
                <w:rFonts w:ascii="Arial" w:eastAsia="Arial" w:hAnsi="Arial"/>
                <w:sz w:val="24"/>
                <w:szCs w:val="24"/>
              </w:rPr>
            </w:pP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B260A3" w:rsidRDefault="00B46711">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B260A3" w:rsidRDefault="00B46711">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B260A3" w:rsidRDefault="00B46711">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B260A3">
        <w:trPr>
          <w:cantSplit/>
        </w:trPr>
        <w:tc>
          <w:tcPr>
            <w:tcW w:w="3404" w:type="dxa"/>
            <w:shd w:val="clear" w:color="auto" w:fill="auto"/>
          </w:tcPr>
          <w:p w:rsidR="00B260A3" w:rsidRDefault="00B260A3">
            <w:pPr>
              <w:widowControl w:val="0"/>
              <w:spacing w:before="120" w:after="120"/>
              <w:ind w:left="720"/>
              <w:rPr>
                <w:rFonts w:ascii="Arial" w:eastAsia="Arial" w:hAnsi="Arial"/>
                <w:b/>
                <w:sz w:val="24"/>
                <w:szCs w:val="24"/>
              </w:rPr>
            </w:pPr>
          </w:p>
        </w:tc>
        <w:tc>
          <w:tcPr>
            <w:tcW w:w="5622" w:type="dxa"/>
            <w:shd w:val="clear" w:color="auto" w:fill="auto"/>
          </w:tcPr>
          <w:p w:rsidR="00B260A3" w:rsidRDefault="00B260A3">
            <w:pPr>
              <w:widowControl w:val="0"/>
              <w:numPr>
                <w:ilvl w:val="0"/>
                <w:numId w:val="14"/>
              </w:numPr>
              <w:tabs>
                <w:tab w:val="left" w:pos="695"/>
              </w:tabs>
              <w:spacing w:before="120" w:after="120"/>
              <w:ind w:left="743" w:hanging="709"/>
              <w:rPr>
                <w:rFonts w:ascii="Arial" w:eastAsia="Arial" w:hAnsi="Arial"/>
                <w:sz w:val="24"/>
                <w:szCs w:val="24"/>
              </w:rPr>
            </w:pPr>
          </w:p>
        </w:tc>
      </w:tr>
      <w:tr w:rsidR="00B260A3">
        <w:trPr>
          <w:cantSplit/>
        </w:trPr>
        <w:tc>
          <w:tcPr>
            <w:tcW w:w="3404" w:type="dxa"/>
            <w:shd w:val="clear" w:color="auto" w:fill="auto"/>
          </w:tcPr>
          <w:p w:rsidR="00B260A3" w:rsidRDefault="00B260A3">
            <w:pPr>
              <w:widowControl w:val="0"/>
              <w:spacing w:before="120" w:after="120"/>
              <w:ind w:left="720"/>
              <w:rPr>
                <w:rFonts w:ascii="Arial" w:eastAsia="Arial" w:hAnsi="Arial"/>
                <w:b/>
                <w:sz w:val="24"/>
                <w:szCs w:val="24"/>
              </w:rPr>
            </w:pPr>
          </w:p>
        </w:tc>
        <w:tc>
          <w:tcPr>
            <w:tcW w:w="5622" w:type="dxa"/>
            <w:shd w:val="clear" w:color="auto" w:fill="auto"/>
          </w:tcPr>
          <w:p w:rsidR="00B260A3" w:rsidRDefault="00B260A3">
            <w:pPr>
              <w:widowControl w:val="0"/>
              <w:numPr>
                <w:ilvl w:val="0"/>
                <w:numId w:val="14"/>
              </w:numPr>
              <w:tabs>
                <w:tab w:val="left" w:pos="695"/>
              </w:tabs>
              <w:spacing w:before="120" w:after="120"/>
              <w:ind w:left="695" w:hanging="646"/>
              <w:rPr>
                <w:rFonts w:ascii="Arial" w:eastAsia="Arial" w:hAnsi="Arial"/>
                <w:sz w:val="24"/>
                <w:szCs w:val="24"/>
              </w:rPr>
            </w:pPr>
          </w:p>
        </w:tc>
      </w:tr>
      <w:tr w:rsidR="00B260A3">
        <w:trPr>
          <w:cantSplit/>
        </w:trPr>
        <w:tc>
          <w:tcPr>
            <w:tcW w:w="3404" w:type="dxa"/>
            <w:shd w:val="clear" w:color="auto" w:fill="auto"/>
          </w:tcPr>
          <w:p w:rsidR="00B260A3" w:rsidRDefault="00B46711">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B260A3" w:rsidRDefault="00B46711">
            <w:pPr>
              <w:spacing w:before="120" w:after="120"/>
              <w:rPr>
                <w:rFonts w:ascii="Arial" w:eastAsia="Arial" w:hAnsi="Arial"/>
                <w:sz w:val="24"/>
                <w:szCs w:val="24"/>
              </w:rPr>
            </w:pPr>
            <w:r>
              <w:rPr>
                <w:rFonts w:ascii="Arial" w:eastAsia="Arial" w:hAnsi="Arial"/>
                <w:sz w:val="24"/>
                <w:szCs w:val="24"/>
              </w:rPr>
              <w:t>means the CSPS, NHSPS or LGPS.</w:t>
            </w:r>
          </w:p>
        </w:tc>
      </w:tr>
    </w:tbl>
    <w:p w:rsidR="00B260A3" w:rsidRDefault="00B46711">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B260A3" w:rsidRDefault="00B46711">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B260A3" w:rsidRDefault="00B46711">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B260A3" w:rsidRDefault="00B46711">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 contractor) shall make arrangements for a bulk transfer from its Broadly Comparable pension scheme to the relevant Statutory Scheme in accordance with </w:t>
      </w:r>
      <w:r>
        <w:rPr>
          <w:rFonts w:ascii="Arial" w:eastAsia="Arial" w:hAnsi="Arial"/>
          <w:color w:val="000000"/>
          <w:sz w:val="24"/>
          <w:szCs w:val="24"/>
        </w:rPr>
        <w:t>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B260A3" w:rsidRDefault="00B46711">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B260A3" w:rsidRDefault="00B46711">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B260A3" w:rsidRDefault="00B46711">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B260A3" w:rsidRDefault="00B46711">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rsidR="00B260A3" w:rsidRDefault="00B46711">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B260A3" w:rsidRDefault="00B46711">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allowing anyone who is not an NHSPS Fair Deal  Employee to join or claim membership of the NHSPS at any time during the Term.</w:t>
      </w:r>
    </w:p>
    <w:p w:rsidR="00B260A3" w:rsidRDefault="00B260A3">
      <w:pPr>
        <w:pBdr>
          <w:top w:val="nil"/>
          <w:left w:val="nil"/>
          <w:bottom w:val="nil"/>
          <w:right w:val="nil"/>
          <w:between w:val="nil"/>
        </w:pBdr>
        <w:spacing w:before="120" w:after="120"/>
        <w:ind w:left="2214" w:hanging="1080"/>
        <w:rPr>
          <w:rFonts w:eastAsia="Calibri" w:cs="Calibri"/>
          <w:color w:val="000000"/>
        </w:rPr>
      </w:pP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B260A3" w:rsidRDefault="00B46711">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B260A3" w:rsidRDefault="00B46711">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The independent Actuary shall be agreed by the Parties or, failing such agreement</w:t>
      </w:r>
      <w:r>
        <w:rPr>
          <w:rFonts w:ascii="Arial" w:eastAsia="Arial" w:hAnsi="Arial"/>
          <w:color w:val="000000"/>
          <w:sz w:val="24"/>
          <w:szCs w:val="24"/>
        </w:rPr>
        <w:t xml:space="preserve"> the independent Actuary shall be appointed by the President for the time being of the Institute and Faculty of Actuaries on the application by the Parties. </w:t>
      </w:r>
    </w:p>
    <w:p w:rsidR="00B260A3" w:rsidRDefault="00B46711">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B260A3" w:rsidRDefault="00B46711">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w:t>
      </w:r>
      <w:r>
        <w:rPr>
          <w:rFonts w:ascii="Arial" w:eastAsia="Arial" w:hAnsi="Arial"/>
          <w:color w:val="000000"/>
          <w:sz w:val="24"/>
          <w:szCs w:val="24"/>
        </w:rPr>
        <w:t xml:space="preserve">it by the Supplier under this Part D, in his or her or its own right under section 1(1) of the CRTPA. </w:t>
      </w:r>
    </w:p>
    <w:p w:rsidR="00B260A3" w:rsidRDefault="00B46711">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w:t>
      </w:r>
      <w:r>
        <w:rPr>
          <w:rFonts w:ascii="Arial" w:eastAsia="Arial" w:hAnsi="Arial"/>
          <w:color w:val="000000"/>
          <w:sz w:val="24"/>
          <w:szCs w:val="24"/>
        </w:rPr>
        <w:t>he right to enforce any obligation owed to them by the Subcontractor in his or her or its own right under section 1(1) of the CRTPA.</w:t>
      </w:r>
    </w:p>
    <w:p w:rsidR="00B260A3" w:rsidRDefault="00B46711">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breach of this Part D</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B260A3" w:rsidRDefault="00B46711">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B260A3" w:rsidRDefault="00B46711">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w:t>
      </w:r>
      <w:r>
        <w:rPr>
          <w:rFonts w:ascii="Arial" w:eastAsia="Arial" w:hAnsi="Arial"/>
          <w:color w:val="000000"/>
          <w:sz w:val="24"/>
          <w:szCs w:val="24"/>
        </w:rPr>
        <w:lastRenderedPageBreak/>
        <w:t>Eligible Employee that remains eligible for New Fair Deal protection following a Service Transfer.</w:t>
      </w:r>
    </w:p>
    <w:p w:rsidR="00B260A3" w:rsidRDefault="00B260A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260A3" w:rsidRDefault="00B46711">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w:t>
      </w:r>
      <w:r>
        <w:rPr>
          <w:rFonts w:ascii="Arial" w:eastAsia="Arial" w:hAnsi="Arial"/>
          <w:color w:val="000000"/>
          <w:sz w:val="24"/>
          <w:szCs w:val="24"/>
        </w:rPr>
        <w:lastRenderedPageBreak/>
        <w:t>doubt</w:t>
      </w:r>
      <w:r>
        <w:rPr>
          <w:rFonts w:ascii="Arial" w:eastAsia="Arial" w:hAnsi="Arial"/>
          <w:color w:val="000000"/>
          <w:sz w:val="24"/>
          <w:szCs w:val="24"/>
        </w:rPr>
        <w:t xml:space="preserve"> any debts arising under section 75 or 75A of the Pensions Act 1995;</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roadly Comparable pension scheme or the Actuary to the relevant Statutory Scheme  (as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e Replacement Supplier’s Broadly Comparable pension scheme  (or the relevant Statutory Scheme if applicable). The bulk transfer terms provided shall be on a past service reserve basis which should be calculated allowing for</w:t>
      </w:r>
      <w:r>
        <w:rPr>
          <w:rFonts w:ascii="Arial" w:eastAsia="Arial" w:hAnsi="Arial"/>
          <w:sz w:val="24"/>
          <w:szCs w:val="24"/>
        </w:rPr>
        <w:t xml:space="preserve"> </w:t>
      </w:r>
      <w:r>
        <w:rPr>
          <w:rFonts w:ascii="Arial" w:eastAsia="Arial" w:hAnsi="Arial"/>
          <w:color w:val="000000"/>
          <w:sz w:val="24"/>
          <w:szCs w:val="24"/>
        </w:rPr>
        <w:t>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 xml:space="preserve">he bulk transfer terms are offered. The bulk transfer terms shall be subject to an underpin </w:t>
      </w:r>
      <w:r>
        <w:rPr>
          <w:rFonts w:ascii="Arial" w:eastAsia="Arial" w:hAnsi="Arial"/>
          <w:color w:val="000000"/>
          <w:sz w:val="24"/>
          <w:szCs w:val="24"/>
        </w:rPr>
        <w:lastRenderedPageBreak/>
        <w:t>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B260A3" w:rsidRDefault="00B260A3">
      <w:pPr>
        <w:pBdr>
          <w:top w:val="nil"/>
          <w:left w:val="nil"/>
          <w:bottom w:val="nil"/>
          <w:right w:val="nil"/>
          <w:between w:val="nil"/>
        </w:pBdr>
        <w:tabs>
          <w:tab w:val="left" w:pos="993"/>
        </w:tabs>
        <w:spacing w:before="120" w:after="120"/>
        <w:ind w:left="720" w:hanging="720"/>
        <w:rPr>
          <w:rFonts w:eastAsia="Calibri" w:cs="Calibri"/>
          <w:color w:val="000000"/>
        </w:rPr>
      </w:pPr>
    </w:p>
    <w:p w:rsidR="00B260A3" w:rsidRDefault="00B46711">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capable of paying a bulk transfer payment to the Replacement Supplier’s Broadly Comparable pension scheme (or the relevant Statutory Scheme if applicable) (unless otherwise instructed by the Buyer); and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w:t>
      </w:r>
      <w:r>
        <w:rPr>
          <w:rFonts w:ascii="Arial" w:eastAsia="Arial" w:hAnsi="Arial"/>
          <w:color w:val="000000"/>
          <w:sz w:val="24"/>
          <w:szCs w:val="24"/>
        </w:rPr>
        <w:t>Broadly Comparable pension scheme and provide a full copy of the valid certificate of broad comparability (which remains valid as at the date of cessation of participation in the Statutory Scheme) covering all relevant Fair Deal Eligible Employees, as soon</w:t>
      </w:r>
      <w:r>
        <w:rPr>
          <w:rFonts w:ascii="Arial" w:eastAsia="Arial" w:hAnsi="Arial"/>
          <w:color w:val="000000"/>
          <w:sz w:val="24"/>
          <w:szCs w:val="24"/>
        </w:rPr>
        <w:t xml:space="preserve"> as it is able to do so before the cessation of participation in the Statutory Scheme (where possible) and in any event no later than seven (7) days after receipt of the certificate;</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w:t>
      </w:r>
      <w:r>
        <w:rPr>
          <w:rFonts w:ascii="Arial" w:eastAsia="Arial" w:hAnsi="Arial"/>
          <w:color w:val="000000"/>
          <w:sz w:val="24"/>
          <w:szCs w:val="24"/>
        </w:rPr>
        <w:t xml:space="preserve">unts relating to the setting up, certification of, ongoing participation in and/or withdrawal and exit from the Broadly Comparable pension scheme, including for the avoidance of doubt any debts arising under section 75 or 75A of the Pensions Act 1995;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w:t>
      </w:r>
      <w:r>
        <w:rPr>
          <w:rFonts w:ascii="Arial" w:eastAsia="Arial" w:hAnsi="Arial"/>
          <w:color w:val="000000"/>
          <w:sz w:val="24"/>
          <w:szCs w:val="24"/>
        </w:rPr>
        <w:t>here required to do so by the Buyer, instruct any such Broadly Comparable pension scheme’s Actuary to provide all such co-operation and assistance in agreeing a bulk transfer process with the Actuary to the relevant Statutory Scheme and to provide all such</w:t>
      </w:r>
      <w:r>
        <w:rPr>
          <w:rFonts w:ascii="Arial" w:eastAsia="Arial" w:hAnsi="Arial"/>
          <w:color w:val="000000"/>
          <w:sz w:val="24"/>
          <w:szCs w:val="24"/>
        </w:rPr>
        <w:t xml:space="preserve"> co-operation and assistance with any other Actuary appointed by the Buyer (where applicable). The Supplier must ensure that day for day and/or pound for pound (as applicable) (or actuarially equivalent where there are benefit differences between the two s</w:t>
      </w:r>
      <w:r>
        <w:rPr>
          <w:rFonts w:ascii="Arial" w:eastAsia="Arial" w:hAnsi="Arial"/>
          <w:color w:val="000000"/>
          <w:sz w:val="24"/>
          <w:szCs w:val="24"/>
        </w:rPr>
        <w:t>chemes) credits in the Broadly Comparable pension scheme are provided in respect of any Fair Deal Employee who consents to such a transfer from the Statutory Scheme and the Supplier shall be fully responsible for any costs of providing those credits in exc</w:t>
      </w:r>
      <w:r>
        <w:rPr>
          <w:rFonts w:ascii="Arial" w:eastAsia="Arial" w:hAnsi="Arial"/>
          <w:color w:val="000000"/>
          <w:sz w:val="24"/>
          <w:szCs w:val="24"/>
        </w:rPr>
        <w:t>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w:t>
      </w:r>
      <w:r>
        <w:rPr>
          <w:rFonts w:ascii="Arial" w:eastAsia="Arial" w:hAnsi="Arial"/>
          <w:color w:val="000000"/>
          <w:sz w:val="24"/>
          <w:szCs w:val="24"/>
        </w:rPr>
        <w:t xml:space="preserve">ll employed by the Supplier and/or relevant Subcontractor and are still eligible for New Fair Deal protection in the event that the Supplier and/or Subcontractor's Broadly Comparable pension scheme is closed </w:t>
      </w:r>
      <w:r>
        <w:rPr>
          <w:rFonts w:ascii="Arial" w:eastAsia="Arial" w:hAnsi="Arial"/>
          <w:color w:val="000000"/>
          <w:sz w:val="24"/>
          <w:szCs w:val="24"/>
        </w:rPr>
        <w:lastRenderedPageBreak/>
        <w:t>to future accrual and/or terminated. The relevan</w:t>
      </w:r>
      <w:r>
        <w:rPr>
          <w:rFonts w:ascii="Arial" w:eastAsia="Arial" w:hAnsi="Arial"/>
          <w:color w:val="000000"/>
          <w:sz w:val="24"/>
          <w:szCs w:val="24"/>
        </w:rPr>
        <w:t>t Fair Deal Eligible Employees must be given the option to transfer their accrued benefits from the previous Broadly Comparable pension scheme to the new Broadly Comparable pension scheme on day for day and/or pound for pound terms (as applicable) (or actu</w:t>
      </w:r>
      <w:r>
        <w:rPr>
          <w:rFonts w:ascii="Arial" w:eastAsia="Arial" w:hAnsi="Arial"/>
          <w:color w:val="000000"/>
          <w:sz w:val="24"/>
          <w:szCs w:val="24"/>
        </w:rPr>
        <w:t xml:space="preserve">arially equivalent where there are benefit differences between the two schemes). </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w:t>
      </w:r>
      <w:r>
        <w:rPr>
          <w:rFonts w:ascii="Arial" w:eastAsia="Arial" w:hAnsi="Arial"/>
          <w:color w:val="000000"/>
          <w:sz w:val="24"/>
          <w:szCs w:val="24"/>
        </w:rPr>
        <w:t>contractors shall) prior to the termination of the relevant Contract allow and make all necessary arrangements to effect, in respect of any Fair Deal Eligible Employee that remains eligible for New Fair Deal protection, following a Service Transfer, the bu</w:t>
      </w:r>
      <w:r>
        <w:rPr>
          <w:rFonts w:ascii="Arial" w:eastAsia="Arial" w:hAnsi="Arial"/>
          <w:color w:val="000000"/>
          <w:sz w:val="24"/>
          <w:szCs w:val="24"/>
        </w:rPr>
        <w:t>lk transfer of past service from any such Broadly Comparable pension scheme into the Replacement Supplier’s Broadly Comparable pension scheme (or relevant Statutory Scheme if applicable). The bulk transfer terms provided shall be sufficient to secure day f</w:t>
      </w:r>
      <w:r>
        <w:rPr>
          <w:rFonts w:ascii="Arial" w:eastAsia="Arial" w:hAnsi="Arial"/>
          <w:color w:val="000000"/>
          <w:sz w:val="24"/>
          <w:szCs w:val="24"/>
        </w:rPr>
        <w:t xml:space="preserve">or day and/or pound for pound credits (as applicable) (or actuarially equivalent where there are benefit differences between the two schemes) in the Replacement Supplier’s Broadly Comparable pension scheme (or relevant Statutory Scheme if applicable). For </w:t>
      </w:r>
      <w:r>
        <w:rPr>
          <w:rFonts w:ascii="Arial" w:eastAsia="Arial" w:hAnsi="Arial"/>
          <w:color w:val="000000"/>
          <w:sz w:val="24"/>
          <w:szCs w:val="24"/>
        </w:rPr>
        <w:t>the avoidance of doubt, should the amount offered by the Broadly Comparable pension scheme be less than the amount required by the Replacement Supplier’s Broadly Comparable pension scheme (or the relevant Statutory Scheme if applicable) to fund the require</w:t>
      </w:r>
      <w:r>
        <w:rPr>
          <w:rFonts w:ascii="Arial" w:eastAsia="Arial" w:hAnsi="Arial"/>
          <w:color w:val="000000"/>
          <w:sz w:val="24"/>
          <w:szCs w:val="24"/>
        </w:rPr>
        <w:t>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 relevant Statutory Scheme if applicable) the Shortfall as required, provided that in the absen</w:t>
      </w:r>
      <w:r>
        <w:rPr>
          <w:rFonts w:ascii="Arial" w:eastAsia="Arial" w:hAnsi="Arial"/>
          <w:color w:val="000000"/>
          <w:sz w:val="24"/>
          <w:szCs w:val="24"/>
        </w:rPr>
        <w:t>ce of any agreement between the Supplier and any Subcontractor, the Shortfall shall be paid by the Supplier. The Supplier shall indemnify the Buyer or the Replacement Supplier’s Broadly Comparable pension scheme (or the relevant Statutory Scheme if applica</w:t>
      </w:r>
      <w:r>
        <w:rPr>
          <w:rFonts w:ascii="Arial" w:eastAsia="Arial" w:hAnsi="Arial"/>
          <w:color w:val="000000"/>
          <w:sz w:val="24"/>
          <w:szCs w:val="24"/>
        </w:rPr>
        <w:t xml:space="preserve">ble) (as the Buyer directs) for any failure to pay the Shortfall under this paragraph. </w:t>
      </w:r>
    </w:p>
    <w:p w:rsidR="00B260A3" w:rsidRDefault="00B46711">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w:t>
      </w:r>
      <w:r>
        <w:rPr>
          <w:rFonts w:ascii="Arial" w:eastAsia="Arial" w:hAnsi="Arial"/>
          <w:color w:val="000000"/>
          <w:sz w:val="24"/>
          <w:szCs w:val="24"/>
        </w:rPr>
        <w:t>due from any third party under any indemnity, bond or guarantee;</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w:t>
      </w:r>
      <w:r>
        <w:rPr>
          <w:rFonts w:ascii="Arial" w:eastAsia="Arial" w:hAnsi="Arial"/>
          <w:color w:val="000000"/>
          <w:sz w:val="24"/>
          <w:szCs w:val="24"/>
        </w:rPr>
        <w:t>yees whether due from the Supplier or from any relevant Subcontractor or due from any third party under any indemnity, bond or guarantee; or</w:t>
      </w:r>
    </w:p>
    <w:p w:rsidR="00B260A3" w:rsidRDefault="00B46711">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unpaid employer’s contributions or employee’s contributions or any other financial obligations under the LGPS o</w:t>
      </w:r>
      <w:r>
        <w:rPr>
          <w:rFonts w:ascii="Arial" w:eastAsia="Arial" w:hAnsi="Arial"/>
          <w:color w:val="000000"/>
          <w:sz w:val="24"/>
          <w:szCs w:val="24"/>
        </w:rPr>
        <w:t>r any LGPS Admission Agreement in respect of the LGPS Eligible Employees whether due from the Supplier or from any relevant Subcontractor or due from any third party under any indemnity, bond or guarantee;</w:t>
      </w:r>
    </w:p>
    <w:p w:rsidR="00B260A3" w:rsidRDefault="00B46711">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w:t>
      </w:r>
      <w:r>
        <w:rPr>
          <w:rFonts w:ascii="Arial" w:eastAsia="Arial" w:hAnsi="Arial"/>
          <w:sz w:val="24"/>
          <w:szCs w:val="24"/>
        </w:rPr>
        <w:t xml:space="preserve">Statutory Scheme. </w:t>
      </w:r>
    </w:p>
    <w:p w:rsidR="00B260A3" w:rsidRDefault="00B46711">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B260A3" w:rsidRDefault="00B46711">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B260A3" w:rsidRDefault="00B46711">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B260A3" w:rsidRDefault="00B46711">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B260A3" w:rsidRDefault="00B46711">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B260A3">
        <w:trPr>
          <w:cantSplit/>
        </w:trPr>
        <w:tc>
          <w:tcPr>
            <w:tcW w:w="2835" w:type="dxa"/>
          </w:tcPr>
          <w:p w:rsidR="00B260A3" w:rsidRDefault="00B46711">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B260A3">
        <w:trPr>
          <w:cantSplit/>
        </w:trPr>
        <w:tc>
          <w:tcPr>
            <w:tcW w:w="2835" w:type="dxa"/>
          </w:tcPr>
          <w:p w:rsidR="00B260A3" w:rsidRDefault="00B46711">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CSPS Fair Deal Employee who at the </w:t>
            </w:r>
            <w:r>
              <w:rPr>
                <w:rFonts w:ascii="Arial" w:eastAsia="Arial" w:hAnsi="Arial"/>
                <w:color w:val="000000"/>
                <w:sz w:val="24"/>
                <w:szCs w:val="24"/>
              </w:rPr>
              <w:t>relevant time is an active member or eligible to participate in the CSPS under a CSPS Admission Agreement;</w:t>
            </w:r>
          </w:p>
        </w:tc>
      </w:tr>
      <w:tr w:rsidR="00B260A3">
        <w:trPr>
          <w:cantSplit/>
        </w:trPr>
        <w:tc>
          <w:tcPr>
            <w:tcW w:w="2835" w:type="dxa"/>
          </w:tcPr>
          <w:p w:rsidR="00B260A3" w:rsidRDefault="00B46711">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protection in respect of the CSPS in acco</w:t>
            </w:r>
            <w:r>
              <w:rPr>
                <w:rFonts w:ascii="Arial" w:eastAsia="Arial" w:hAnsi="Arial"/>
                <w:color w:val="000000"/>
                <w:sz w:val="24"/>
                <w:szCs w:val="24"/>
              </w:rPr>
              <w:t xml:space="preserve">rdance with the provisions of New Fair Deal; </w:t>
            </w:r>
          </w:p>
        </w:tc>
      </w:tr>
      <w:tr w:rsidR="00B260A3">
        <w:trPr>
          <w:cantSplit/>
        </w:trPr>
        <w:tc>
          <w:tcPr>
            <w:tcW w:w="2835" w:type="dxa"/>
          </w:tcPr>
          <w:p w:rsidR="00B260A3" w:rsidRDefault="00B46711">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B260A3" w:rsidRDefault="00B46711">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B260A3" w:rsidRDefault="00B46711">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B260A3" w:rsidRDefault="00B46711">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section of the CSPS for service from (and including) the Relevant Transfer Date. </w:t>
      </w:r>
    </w:p>
    <w:p w:rsidR="00B260A3" w:rsidRDefault="00B46711">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lastRenderedPageBreak/>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B260A3" w:rsidRDefault="00B260A3">
      <w:pPr>
        <w:rPr>
          <w:rFonts w:ascii="Arial" w:eastAsia="Arial" w:hAnsi="Arial"/>
          <w:sz w:val="24"/>
          <w:szCs w:val="24"/>
        </w:rPr>
      </w:pPr>
    </w:p>
    <w:p w:rsidR="00B260A3" w:rsidRDefault="00B46711">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B260A3" w:rsidRDefault="00B46711">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B260A3" w:rsidRDefault="00B46711">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B260A3">
        <w:trPr>
          <w:cantSplit/>
        </w:trPr>
        <w:tc>
          <w:tcPr>
            <w:tcW w:w="3397" w:type="dxa"/>
          </w:tcPr>
          <w:p w:rsidR="00B260A3" w:rsidRDefault="00B46711">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B260A3">
        <w:trPr>
          <w:cantSplit/>
        </w:trPr>
        <w:tc>
          <w:tcPr>
            <w:tcW w:w="3397" w:type="dxa"/>
          </w:tcPr>
          <w:p w:rsidR="00B260A3" w:rsidRDefault="00B46711">
            <w:pPr>
              <w:spacing w:before="120" w:after="120"/>
              <w:ind w:left="720"/>
              <w:rPr>
                <w:rFonts w:ascii="Arial" w:eastAsia="Arial" w:hAnsi="Arial"/>
                <w:b/>
                <w:sz w:val="24"/>
                <w:szCs w:val="24"/>
              </w:rPr>
            </w:pPr>
            <w:r>
              <w:rPr>
                <w:rFonts w:ascii="Arial" w:eastAsia="Arial" w:hAnsi="Arial"/>
                <w:b/>
                <w:sz w:val="24"/>
                <w:szCs w:val="24"/>
              </w:rPr>
              <w:lastRenderedPageBreak/>
              <w:t>“NHS Broadly Comparable Empl</w:t>
            </w:r>
            <w:r>
              <w:rPr>
                <w:rFonts w:ascii="Arial" w:eastAsia="Arial" w:hAnsi="Arial"/>
                <w:b/>
                <w:sz w:val="24"/>
                <w:szCs w:val="24"/>
              </w:rPr>
              <w:t>oyees”</w:t>
            </w:r>
          </w:p>
        </w:tc>
        <w:tc>
          <w:tcPr>
            <w:tcW w:w="5629" w:type="dxa"/>
          </w:tcPr>
          <w:p w:rsidR="00B260A3" w:rsidRDefault="00B46711">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B260A3" w:rsidRDefault="00B46711">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B260A3" w:rsidRDefault="00B46711">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olor w:val="000000"/>
                <w:sz w:val="24"/>
                <w:szCs w:val="24"/>
              </w:rPr>
              <w:t>y the Former Supplier),</w:t>
            </w:r>
          </w:p>
          <w:p w:rsidR="00B260A3" w:rsidRDefault="00B46711">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Broadly </w:t>
            </w:r>
            <w:r>
              <w:rPr>
                <w:rFonts w:ascii="Arial" w:eastAsia="Arial" w:hAnsi="Arial"/>
                <w:sz w:val="24"/>
                <w:szCs w:val="24"/>
              </w:rPr>
              <w:t>Comparable to those provided under the NHSPS.</w:t>
            </w:r>
          </w:p>
        </w:tc>
      </w:tr>
      <w:tr w:rsidR="00B260A3">
        <w:trPr>
          <w:cantSplit/>
        </w:trPr>
        <w:tc>
          <w:tcPr>
            <w:tcW w:w="3397" w:type="dxa"/>
          </w:tcPr>
          <w:p w:rsidR="00B260A3" w:rsidRDefault="00B46711">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B260A3">
        <w:trPr>
          <w:cantSplit/>
        </w:trPr>
        <w:tc>
          <w:tcPr>
            <w:tcW w:w="3397" w:type="dxa"/>
          </w:tcPr>
          <w:p w:rsidR="00B260A3" w:rsidRDefault="00B46711">
            <w:pPr>
              <w:spacing w:before="120" w:after="120"/>
              <w:ind w:left="720"/>
              <w:rPr>
                <w:rFonts w:ascii="Arial" w:eastAsia="Arial" w:hAnsi="Arial"/>
                <w:b/>
                <w:sz w:val="24"/>
                <w:szCs w:val="24"/>
              </w:rPr>
            </w:pPr>
            <w:r>
              <w:rPr>
                <w:rFonts w:ascii="Arial" w:eastAsia="Arial" w:hAnsi="Arial"/>
                <w:b/>
                <w:sz w:val="24"/>
                <w:szCs w:val="24"/>
              </w:rPr>
              <w:t>"NHSPS Fair Deal  E</w:t>
            </w:r>
            <w:r>
              <w:rPr>
                <w:rFonts w:ascii="Arial" w:eastAsia="Arial" w:hAnsi="Arial"/>
                <w:b/>
                <w:sz w:val="24"/>
                <w:szCs w:val="24"/>
              </w:rPr>
              <w:t>mployees"</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color w:val="000000"/>
                <w:sz w:val="24"/>
                <w:szCs w:val="24"/>
              </w:rPr>
              <w:t xml:space="preserve">o be or become a member of, the NHSPS as a result of either: </w:t>
            </w:r>
          </w:p>
        </w:tc>
      </w:tr>
      <w:tr w:rsidR="00B260A3">
        <w:trPr>
          <w:cantSplit/>
        </w:trPr>
        <w:tc>
          <w:tcPr>
            <w:tcW w:w="3397" w:type="dxa"/>
          </w:tcPr>
          <w:p w:rsidR="00B260A3" w:rsidRDefault="00B260A3">
            <w:pPr>
              <w:spacing w:before="120" w:after="120"/>
              <w:ind w:left="720"/>
              <w:rPr>
                <w:rFonts w:ascii="Arial" w:eastAsia="Arial" w:hAnsi="Arial"/>
                <w:b/>
                <w:sz w:val="24"/>
                <w:szCs w:val="24"/>
              </w:rPr>
            </w:pPr>
          </w:p>
        </w:tc>
        <w:tc>
          <w:tcPr>
            <w:tcW w:w="5629" w:type="dxa"/>
          </w:tcPr>
          <w:p w:rsidR="00B260A3" w:rsidRDefault="00B46711">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B260A3">
        <w:trPr>
          <w:cantSplit/>
        </w:trPr>
        <w:tc>
          <w:tcPr>
            <w:tcW w:w="3397" w:type="dxa"/>
          </w:tcPr>
          <w:p w:rsidR="00B260A3" w:rsidRDefault="00B260A3">
            <w:pPr>
              <w:spacing w:before="120" w:after="120"/>
              <w:ind w:left="720"/>
              <w:rPr>
                <w:rFonts w:ascii="Arial" w:eastAsia="Arial" w:hAnsi="Arial"/>
                <w:b/>
                <w:sz w:val="24"/>
                <w:szCs w:val="24"/>
              </w:rPr>
            </w:pPr>
          </w:p>
        </w:tc>
        <w:tc>
          <w:tcPr>
            <w:tcW w:w="5629" w:type="dxa"/>
          </w:tcPr>
          <w:p w:rsidR="00B260A3" w:rsidRDefault="00B46711">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w:t>
            </w:r>
            <w:r>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olor w:val="000000"/>
                <w:sz w:val="24"/>
                <w:szCs w:val="24"/>
              </w:rPr>
              <w:t>pplier),</w:t>
            </w:r>
          </w:p>
        </w:tc>
      </w:tr>
      <w:tr w:rsidR="00B260A3">
        <w:trPr>
          <w:cantSplit/>
        </w:trPr>
        <w:tc>
          <w:tcPr>
            <w:tcW w:w="3397" w:type="dxa"/>
          </w:tcPr>
          <w:p w:rsidR="00B260A3" w:rsidRDefault="00B260A3">
            <w:pPr>
              <w:spacing w:before="120" w:after="120"/>
              <w:ind w:left="720"/>
              <w:rPr>
                <w:rFonts w:ascii="Arial" w:eastAsia="Arial" w:hAnsi="Arial"/>
                <w:b/>
                <w:sz w:val="24"/>
                <w:szCs w:val="24"/>
              </w:rPr>
            </w:pP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B260A3">
        <w:trPr>
          <w:cantSplit/>
        </w:trPr>
        <w:tc>
          <w:tcPr>
            <w:tcW w:w="3397" w:type="dxa"/>
          </w:tcPr>
          <w:p w:rsidR="00B260A3" w:rsidRDefault="00B260A3">
            <w:pPr>
              <w:spacing w:before="120" w:after="120"/>
              <w:ind w:left="720"/>
              <w:rPr>
                <w:rFonts w:ascii="Arial" w:eastAsia="Arial" w:hAnsi="Arial"/>
                <w:b/>
                <w:sz w:val="24"/>
                <w:szCs w:val="24"/>
              </w:rPr>
            </w:pP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For the avoidance of doubt, an individual who is in or entitled to be</w:t>
            </w:r>
            <w:r>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olor w:val="000000"/>
                <w:sz w:val="24"/>
                <w:szCs w:val="24"/>
              </w:rPr>
              <w:t xml:space="preserve">participates automatically in the NHSPS) is not an NHSPS Fair Deal Employee;  </w:t>
            </w:r>
          </w:p>
        </w:tc>
      </w:tr>
      <w:tr w:rsidR="00B260A3">
        <w:trPr>
          <w:cantSplit/>
        </w:trPr>
        <w:tc>
          <w:tcPr>
            <w:tcW w:w="3397" w:type="dxa"/>
          </w:tcPr>
          <w:p w:rsidR="00B260A3" w:rsidRDefault="00B46711">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w:t>
            </w:r>
            <w:r>
              <w:rPr>
                <w:rFonts w:ascii="Arial" w:eastAsia="Arial" w:hAnsi="Arial"/>
                <w:color w:val="000000"/>
                <w:sz w:val="24"/>
                <w:szCs w:val="24"/>
              </w:rPr>
              <w:t xml:space="preserve">12; </w:t>
            </w:r>
          </w:p>
        </w:tc>
      </w:tr>
      <w:tr w:rsidR="00B260A3">
        <w:trPr>
          <w:cantSplit/>
        </w:trPr>
        <w:tc>
          <w:tcPr>
            <w:tcW w:w="3397" w:type="dxa"/>
          </w:tcPr>
          <w:p w:rsidR="00B260A3" w:rsidRDefault="00B46711">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B260A3">
        <w:trPr>
          <w:cantSplit/>
        </w:trPr>
        <w:tc>
          <w:tcPr>
            <w:tcW w:w="3397" w:type="dxa"/>
          </w:tcPr>
          <w:p w:rsidR="00B260A3" w:rsidRDefault="00B46711">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B260A3">
        <w:trPr>
          <w:cantSplit/>
        </w:trPr>
        <w:tc>
          <w:tcPr>
            <w:tcW w:w="3397" w:type="dxa"/>
          </w:tcPr>
          <w:p w:rsidR="00B260A3" w:rsidRDefault="00B260A3">
            <w:pPr>
              <w:spacing w:before="120" w:after="120"/>
              <w:ind w:left="993"/>
              <w:rPr>
                <w:rFonts w:ascii="Arial" w:eastAsia="Arial" w:hAnsi="Arial"/>
                <w:b/>
                <w:sz w:val="24"/>
                <w:szCs w:val="24"/>
              </w:rPr>
            </w:pPr>
          </w:p>
        </w:tc>
        <w:tc>
          <w:tcPr>
            <w:tcW w:w="5629" w:type="dxa"/>
          </w:tcPr>
          <w:p w:rsidR="00B260A3" w:rsidRDefault="00B260A3">
            <w:pPr>
              <w:tabs>
                <w:tab w:val="left" w:pos="235"/>
              </w:tabs>
              <w:spacing w:before="120" w:after="120"/>
              <w:rPr>
                <w:rFonts w:ascii="Arial" w:eastAsia="Arial" w:hAnsi="Arial"/>
                <w:color w:val="000000"/>
                <w:sz w:val="24"/>
                <w:szCs w:val="24"/>
              </w:rPr>
            </w:pPr>
          </w:p>
        </w:tc>
      </w:tr>
      <w:tr w:rsidR="00B260A3">
        <w:trPr>
          <w:cantSplit/>
        </w:trPr>
        <w:tc>
          <w:tcPr>
            <w:tcW w:w="3397" w:type="dxa"/>
          </w:tcPr>
          <w:p w:rsidR="00B260A3" w:rsidRDefault="00B46711">
            <w:pPr>
              <w:spacing w:before="120" w:after="120"/>
              <w:ind w:left="993"/>
              <w:rPr>
                <w:rFonts w:ascii="Arial" w:eastAsia="Arial" w:hAnsi="Arial"/>
                <w:b/>
                <w:sz w:val="24"/>
                <w:szCs w:val="24"/>
              </w:rPr>
            </w:pPr>
            <w:r>
              <w:rPr>
                <w:rFonts w:ascii="Arial" w:eastAsia="Arial" w:hAnsi="Arial"/>
                <w:b/>
                <w:sz w:val="24"/>
                <w:szCs w:val="24"/>
              </w:rPr>
              <w:lastRenderedPageBreak/>
              <w:t>"NHS Pension Scheme Regulations"</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olor w:val="000000"/>
                <w:sz w:val="24"/>
                <w:szCs w:val="24"/>
              </w:rPr>
              <w:t>heme Regulations 2015 (2015/94) and any subsequent regulations made in respect of the NHSPS, each as amended from time to time;</w:t>
            </w:r>
          </w:p>
        </w:tc>
      </w:tr>
      <w:tr w:rsidR="00B260A3">
        <w:trPr>
          <w:cantSplit/>
        </w:trPr>
        <w:tc>
          <w:tcPr>
            <w:tcW w:w="3397" w:type="dxa"/>
          </w:tcPr>
          <w:p w:rsidR="00B260A3" w:rsidRDefault="00B46711">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w:t>
            </w:r>
            <w:r>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B260A3">
        <w:trPr>
          <w:cantSplit/>
        </w:trPr>
        <w:tc>
          <w:tcPr>
            <w:tcW w:w="3397" w:type="dxa"/>
          </w:tcPr>
          <w:p w:rsidR="00B260A3" w:rsidRDefault="00B46711">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B260A3" w:rsidRDefault="00B46711">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w:t>
            </w:r>
            <w:r>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B260A3">
        <w:trPr>
          <w:cantSplit/>
        </w:trPr>
        <w:tc>
          <w:tcPr>
            <w:tcW w:w="3397" w:type="dxa"/>
          </w:tcPr>
          <w:p w:rsidR="00B260A3" w:rsidRDefault="00B260A3">
            <w:pPr>
              <w:spacing w:before="120" w:after="120"/>
              <w:ind w:left="993"/>
              <w:rPr>
                <w:rFonts w:ascii="Arial" w:eastAsia="Arial" w:hAnsi="Arial"/>
                <w:b/>
                <w:sz w:val="24"/>
                <w:szCs w:val="24"/>
              </w:rPr>
            </w:pPr>
          </w:p>
        </w:tc>
        <w:tc>
          <w:tcPr>
            <w:tcW w:w="5629" w:type="dxa"/>
          </w:tcPr>
          <w:p w:rsidR="00B260A3" w:rsidRDefault="00B260A3">
            <w:pPr>
              <w:tabs>
                <w:tab w:val="left" w:pos="235"/>
              </w:tabs>
              <w:spacing w:before="120" w:after="120"/>
              <w:rPr>
                <w:rFonts w:ascii="Arial" w:eastAsia="Arial" w:hAnsi="Arial"/>
                <w:sz w:val="24"/>
                <w:szCs w:val="24"/>
              </w:rPr>
            </w:pPr>
          </w:p>
        </w:tc>
      </w:tr>
    </w:tbl>
    <w:p w:rsidR="00B260A3" w:rsidRDefault="00B46711">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olor w:val="000000"/>
          <w:sz w:val="24"/>
          <w:szCs w:val="24"/>
        </w:rPr>
        <w:t xml:space="preserve"> employed in connection with the delivery of the Services under the relevant Contract. </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w:t>
      </w:r>
      <w:r>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B260A3" w:rsidRDefault="00B46711">
      <w:pPr>
        <w:pStyle w:val="Heading4"/>
        <w:numPr>
          <w:ilvl w:val="3"/>
          <w:numId w:val="18"/>
        </w:numPr>
        <w:rPr>
          <w:rFonts w:ascii="Arial" w:eastAsia="Arial" w:hAnsi="Arial"/>
          <w:sz w:val="24"/>
          <w:szCs w:val="24"/>
        </w:rPr>
      </w:pPr>
      <w:r>
        <w:rPr>
          <w:rFonts w:ascii="Arial" w:eastAsia="Arial" w:hAnsi="Arial"/>
          <w:sz w:val="24"/>
          <w:szCs w:val="24"/>
        </w:rPr>
        <w:lastRenderedPageBreak/>
        <w:t>all employ</w:t>
      </w:r>
      <w:r>
        <w:rPr>
          <w:rFonts w:ascii="Arial" w:eastAsia="Arial" w:hAnsi="Arial"/>
          <w:sz w:val="24"/>
          <w:szCs w:val="24"/>
        </w:rPr>
        <w:t>er's and NHSPS Fair Deal Employees' contributions intended to go to the NHSPS are kept in a separate bank account; and</w:t>
      </w:r>
    </w:p>
    <w:p w:rsidR="00B260A3" w:rsidRDefault="00B46711">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w:t>
      </w:r>
      <w:r>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Pr>
          <w:rFonts w:ascii="Arial" w:eastAsia="Arial" w:hAnsi="Arial"/>
          <w:color w:val="000000"/>
          <w:sz w:val="24"/>
          <w:szCs w:val="24"/>
        </w:rPr>
        <w:t>on.</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w:t>
      </w:r>
      <w:r>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Pr>
          <w:rFonts w:ascii="Arial" w:eastAsia="Arial" w:hAnsi="Arial"/>
          <w:color w:val="000000"/>
          <w:sz w:val="24"/>
          <w:szCs w:val="24"/>
        </w:rPr>
        <w:t xml:space="preserve"> from the Relevant Transfer Date so that their Pension Benefits and NHS Premature Retirement Rights are not adversely affected.</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w:t>
      </w:r>
      <w:r>
        <w:rPr>
          <w:rFonts w:ascii="Arial" w:eastAsia="Arial" w:hAnsi="Arial"/>
          <w:color w:val="000000"/>
          <w:sz w:val="24"/>
          <w:szCs w:val="24"/>
        </w:rPr>
        <w:t>y required by NHS Pensions in relation to a Direction Letter/Determination.</w:t>
      </w:r>
    </w:p>
    <w:p w:rsidR="00B260A3" w:rsidRDefault="00B46711">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From the Relevant Transfer Date until the Service Transfer Date, the Supplier must provide (and/or must ensure that its Subco</w:t>
      </w:r>
      <w:r>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Pr>
          <w:rFonts w:ascii="Arial" w:eastAsia="Arial" w:hAnsi="Arial"/>
          <w:color w:val="000000"/>
          <w:sz w:val="24"/>
          <w:szCs w:val="24"/>
        </w:rPr>
        <w:t xml:space="preserve">utomatically in the NHSPS. </w:t>
      </w:r>
    </w:p>
    <w:p w:rsidR="00B260A3" w:rsidRDefault="00B46711">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B260A3" w:rsidRDefault="00B260A3">
      <w:pPr>
        <w:ind w:left="357"/>
        <w:rPr>
          <w:rFonts w:ascii="Arial" w:eastAsia="Arial" w:hAnsi="Arial"/>
          <w:sz w:val="24"/>
          <w:szCs w:val="24"/>
        </w:rPr>
      </w:pPr>
    </w:p>
    <w:p w:rsidR="00B260A3" w:rsidRDefault="00B46711">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 xml:space="preserve">If the Supplier (or its Subcontractors, if </w:t>
      </w:r>
      <w:r>
        <w:rPr>
          <w:rFonts w:ascii="Arial" w:eastAsia="Arial" w:hAnsi="Arial"/>
          <w:color w:val="000000"/>
          <w:sz w:val="24"/>
          <w:szCs w:val="24"/>
        </w:rPr>
        <w:t>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w:t>
      </w:r>
      <w:r>
        <w:rPr>
          <w:rFonts w:ascii="Arial" w:eastAsia="Arial" w:hAnsi="Arial"/>
          <w:color w:val="000000"/>
          <w:sz w:val="24"/>
          <w:szCs w:val="24"/>
        </w:rPr>
        <w:t xml:space="preserve"> the NHSPS Eligible Employees ceased to participate in the NHSPS in accordance with the provisions of paragraph 11 of Part D. Subcontractor.</w:t>
      </w:r>
    </w:p>
    <w:p w:rsidR="00B260A3" w:rsidRDefault="00B46711">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B260A3" w:rsidRDefault="00B46711">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rsidR="00B260A3" w:rsidRDefault="00B46711">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B260A3" w:rsidRDefault="00B46711">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B260A3" w:rsidRDefault="00B46711">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w:t>
      </w:r>
      <w:r>
        <w:rPr>
          <w:rFonts w:ascii="Arial" w:eastAsia="Arial" w:hAnsi="Arial"/>
          <w:sz w:val="24"/>
          <w:szCs w:val="24"/>
        </w:rPr>
        <w:t>ubcontractor as relevant) having consulted with a view to reaching agreement with any recognised trade union or, in the absence of such body, the NHSPS Fair Deal Employees.  The Supplier must meet (or must procure that the relevant Subcontractor meets) the</w:t>
      </w:r>
      <w:r>
        <w:rPr>
          <w:rFonts w:ascii="Arial" w:eastAsia="Arial" w:hAnsi="Arial"/>
          <w:sz w:val="24"/>
          <w:szCs w:val="24"/>
        </w:rPr>
        <w:t xml:space="preserv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w:t>
      </w:r>
      <w:r>
        <w:rPr>
          <w:rFonts w:ascii="Arial" w:eastAsia="Arial" w:hAnsi="Arial"/>
          <w:color w:val="000000"/>
          <w:sz w:val="24"/>
          <w:szCs w:val="24"/>
        </w:rPr>
        <w:t>inate the Contract.</w:t>
      </w:r>
    </w:p>
    <w:p w:rsidR="00B260A3" w:rsidRDefault="00B46711">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B260A3" w:rsidRDefault="00B46711">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w:t>
      </w:r>
      <w:r>
        <w:rPr>
          <w:rFonts w:ascii="Arial" w:eastAsia="Arial" w:hAnsi="Arial"/>
          <w:color w:val="000000"/>
          <w:sz w:val="24"/>
          <w:szCs w:val="24"/>
        </w:rPr>
        <w:t>able Employees that the provision of (or failure to provide) Pension Benefits and NHS Premature Retirement Rights from the Relevant Transfer Date, or the level of such benefit provided, constitutes a breach of his or her employment rights.</w:t>
      </w:r>
    </w:p>
    <w:p w:rsidR="00B260A3" w:rsidRDefault="00B46711">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B260A3" w:rsidRDefault="00B46711">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B260A3" w:rsidRDefault="00B46711">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B260A3" w:rsidRDefault="00B46711">
      <w:pPr>
        <w:rPr>
          <w:b/>
          <w:sz w:val="24"/>
          <w:szCs w:val="24"/>
        </w:rPr>
      </w:pPr>
      <w:r>
        <w:rPr>
          <w:rFonts w:ascii="Arial" w:eastAsia="Arial" w:hAnsi="Arial"/>
          <w:b/>
          <w:sz w:val="24"/>
          <w:szCs w:val="24"/>
          <w:highlight w:val="yellow"/>
        </w:rPr>
        <w:t>Please note that this Part D is drafted to reflect the requirements of New</w:t>
      </w:r>
      <w:r>
        <w:rPr>
          <w:rFonts w:ascii="Arial" w:eastAsia="Arial" w:hAnsi="Arial"/>
          <w:b/>
          <w:sz w:val="24"/>
          <w:szCs w:val="24"/>
          <w:highlight w:val="yellow"/>
        </w:rPr>
        <w:t xml:space="preserve"> Fair Deal. Accordingly, where a contracting authority is a local authority (or other type of best value authority) then it will be subject to the requirements of the Best Value Authorities Staff Transfers (Pensions) Direction 2007 (or the Welsh Authoritie</w:t>
      </w:r>
      <w:r>
        <w:rPr>
          <w:rFonts w:ascii="Arial" w:eastAsia="Arial" w:hAnsi="Arial"/>
          <w:b/>
          <w:sz w:val="24"/>
          <w:szCs w:val="24"/>
          <w:highlight w:val="yellow"/>
        </w:rPr>
        <w:t>s Staff Transfers (Pensions) Direction 2012 if appropriate) and should take further specific legal advice to ensure compliance with those Directions.</w:t>
      </w:r>
      <w:r>
        <w:rPr>
          <w:b/>
          <w:sz w:val="24"/>
          <w:szCs w:val="24"/>
          <w:highlight w:val="yellow"/>
        </w:rPr>
        <w:t xml:space="preserve">  </w:t>
      </w:r>
    </w:p>
    <w:p w:rsidR="00B260A3" w:rsidRDefault="00B46711">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t>
      </w:r>
      <w:r>
        <w:rPr>
          <w:rFonts w:ascii="Arial" w:eastAsia="Arial" w:hAnsi="Arial"/>
          <w:sz w:val="24"/>
          <w:szCs w:val="24"/>
        </w:rPr>
        <w:t>ws:</w:t>
      </w:r>
    </w:p>
    <w:p w:rsidR="00B260A3" w:rsidRDefault="00B46711">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B260A3" w:rsidRDefault="00B46711">
      <w:pPr>
        <w:rPr>
          <w:rFonts w:ascii="Arial" w:eastAsia="Arial" w:hAnsi="Arial"/>
          <w:sz w:val="24"/>
          <w:szCs w:val="24"/>
        </w:rPr>
      </w:pPr>
      <w:r>
        <w:rPr>
          <w:rFonts w:ascii="Arial" w:eastAsia="Arial" w:hAnsi="Arial"/>
          <w:sz w:val="24"/>
          <w:szCs w:val="24"/>
        </w:rPr>
        <w:t>It is important to check whether CC</w:t>
      </w:r>
      <w:r>
        <w:rPr>
          <w:rFonts w:ascii="Arial" w:eastAsia="Arial" w:hAnsi="Arial"/>
          <w:sz w:val="24"/>
          <w:szCs w:val="24"/>
        </w:rPr>
        <w:t>S and or the Buyer can actually participate in the LGPS. Where a government department is taking on services which were formerly the responsibility of a Local Authority it may be necessary to obtain secretary of state approval for participation in the LGPS</w:t>
      </w:r>
      <w:r>
        <w:rPr>
          <w:rFonts w:ascii="Arial" w:eastAsia="Arial" w:hAnsi="Arial"/>
          <w:sz w:val="24"/>
          <w:szCs w:val="24"/>
        </w:rPr>
        <w:t xml:space="preserve">, this is because the services are being provided to Gov. Dept. and not to a Local Authority. </w:t>
      </w:r>
    </w:p>
    <w:p w:rsidR="00B260A3" w:rsidRDefault="00B46711">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w:t>
      </w:r>
      <w:r>
        <w:rPr>
          <w:rFonts w:ascii="Arial" w:eastAsia="Arial" w:hAnsi="Arial"/>
          <w:sz w:val="24"/>
          <w:szCs w:val="24"/>
        </w:rPr>
        <w:t xml:space="preserve"> did provide such a right, it is a significant additional cost and therefore bulk transfer wording has been excluded.  If required take legal advice due to the exceptionally high costs which can result from a requirement to provide bulk transfers.]</w:t>
      </w:r>
    </w:p>
    <w:p w:rsidR="00B260A3" w:rsidRDefault="00B46711">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w:t>
      </w:r>
      <w:r>
        <w:rPr>
          <w:rFonts w:ascii="Arial Bold" w:eastAsia="Arial Bold" w:hAnsi="Arial Bold" w:cs="Arial Bold"/>
          <w:b/>
          <w:color w:val="000000"/>
          <w:sz w:val="24"/>
          <w:szCs w:val="24"/>
        </w:rPr>
        <w:t>ions</w:t>
      </w:r>
    </w:p>
    <w:p w:rsidR="00B260A3" w:rsidRDefault="00B46711">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B260A3">
        <w:trPr>
          <w:cantSplit/>
          <w:trHeight w:val="653"/>
        </w:trPr>
        <w:tc>
          <w:tcPr>
            <w:tcW w:w="2635" w:type="dxa"/>
            <w:shd w:val="clear" w:color="auto" w:fill="auto"/>
          </w:tcPr>
          <w:p w:rsidR="00B260A3" w:rsidRDefault="00B46711">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B260A3">
        <w:trPr>
          <w:cantSplit/>
          <w:trHeight w:val="653"/>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B260A3">
        <w:trPr>
          <w:cantSplit/>
          <w:trHeight w:val="653"/>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the actuary to a Fund appointed by the Administering Buyer of that Fund;</w:t>
            </w:r>
          </w:p>
        </w:tc>
      </w:tr>
      <w:tr w:rsidR="00B260A3">
        <w:trPr>
          <w:cantSplit/>
          <w:trHeight w:val="337"/>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B260A3" w:rsidRDefault="00B46711">
            <w:pPr>
              <w:rPr>
                <w:rFonts w:ascii="Arial" w:eastAsia="Arial" w:hAnsi="Arial"/>
                <w:b/>
                <w:sz w:val="24"/>
                <w:szCs w:val="24"/>
              </w:rPr>
            </w:pPr>
            <w:r>
              <w:rPr>
                <w:rFonts w:ascii="Arial" w:eastAsia="Arial" w:hAnsi="Arial"/>
                <w:b/>
                <w:sz w:val="24"/>
                <w:szCs w:val="24"/>
                <w:highlight w:val="yellow"/>
              </w:rPr>
              <w:t>[insert name], a pension fund within the LGPS;</w:t>
            </w:r>
          </w:p>
        </w:tc>
      </w:tr>
      <w:tr w:rsidR="00B260A3">
        <w:trPr>
          <w:cantSplit/>
          <w:trHeight w:val="337"/>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B260A3" w:rsidRDefault="00B46711">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B260A3">
        <w:trPr>
          <w:cantSplit/>
          <w:trHeight w:val="1269"/>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the Loc</w:t>
            </w:r>
            <w:r>
              <w:rPr>
                <w:rFonts w:ascii="Arial" w:eastAsia="Arial" w:hAnsi="Arial"/>
                <w:sz w:val="24"/>
                <w:szCs w:val="24"/>
              </w:rPr>
              <w:t>al Government Pension Scheme as governed by the LGPS Regulations, and any other regulations (in each case as amended from time to time) which are from time  to time applicable to the Local Government Pension Scheme;</w:t>
            </w:r>
          </w:p>
        </w:tc>
      </w:tr>
      <w:tr w:rsidR="00B260A3">
        <w:trPr>
          <w:cantSplit/>
          <w:trHeight w:val="990"/>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B260A3">
        <w:trPr>
          <w:cantSplit/>
          <w:trHeight w:val="900"/>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B260A3">
        <w:trPr>
          <w:cantSplit/>
          <w:trHeight w:val="900"/>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 xml:space="preserve">any LGPS Fair Deal Employee who at </w:t>
            </w:r>
            <w:r>
              <w:rPr>
                <w:rFonts w:ascii="Arial" w:eastAsia="Arial" w:hAnsi="Arial"/>
                <w:sz w:val="24"/>
                <w:szCs w:val="24"/>
              </w:rPr>
              <w:t>the relevant time is an active member or eligible to participate in the LGPS under an LGPS Admission Agreement;</w:t>
            </w:r>
          </w:p>
        </w:tc>
      </w:tr>
      <w:tr w:rsidR="00B260A3">
        <w:trPr>
          <w:cantSplit/>
          <w:trHeight w:val="900"/>
        </w:trPr>
        <w:tc>
          <w:tcPr>
            <w:tcW w:w="2635" w:type="dxa"/>
            <w:shd w:val="clear" w:color="auto" w:fill="auto"/>
          </w:tcPr>
          <w:p w:rsidR="00B260A3" w:rsidRDefault="00B46711">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B260A3" w:rsidRDefault="00B46711">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B260A3">
        <w:trPr>
          <w:cantSplit/>
          <w:trHeight w:val="1665"/>
        </w:trPr>
        <w:tc>
          <w:tcPr>
            <w:tcW w:w="2635" w:type="dxa"/>
            <w:shd w:val="clear" w:color="auto" w:fill="auto"/>
          </w:tcPr>
          <w:p w:rsidR="00B260A3" w:rsidRDefault="00B46711">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B260A3" w:rsidRDefault="00B46711">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rsidR="00B260A3" w:rsidRDefault="00B260A3">
      <w:pPr>
        <w:pStyle w:val="Heading2"/>
        <w:rPr>
          <w:rFonts w:ascii="Arial" w:eastAsia="Arial" w:hAnsi="Arial"/>
          <w:sz w:val="24"/>
          <w:szCs w:val="24"/>
        </w:rPr>
      </w:pPr>
    </w:p>
    <w:p w:rsidR="00B260A3" w:rsidRDefault="00B46711">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B260A3" w:rsidRDefault="00B46711">
      <w:pPr>
        <w:numPr>
          <w:ilvl w:val="1"/>
          <w:numId w:val="1"/>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 xml:space="preserve">al Employees to retain either continuous active membership of or eligibility </w:t>
      </w:r>
      <w:r>
        <w:rPr>
          <w:rFonts w:ascii="Arial" w:eastAsia="Arial" w:hAnsi="Arial"/>
          <w:sz w:val="24"/>
          <w:szCs w:val="24"/>
        </w:rPr>
        <w:lastRenderedPageBreak/>
        <w:t>for the LGPS on and from the Relevant Transfer Date for so long as they remain employed in connection with the delivery of the Services under the relevant Contract.</w:t>
      </w:r>
    </w:p>
    <w:p w:rsidR="00B260A3" w:rsidRDefault="00B46711">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B260A3" w:rsidRDefault="00B46711">
      <w:pPr>
        <w:numPr>
          <w:ilvl w:val="1"/>
          <w:numId w:val="1"/>
        </w:numPr>
        <w:tabs>
          <w:tab w:val="left" w:pos="720"/>
        </w:tabs>
        <w:ind w:left="708" w:hanging="708"/>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B260A3" w:rsidRDefault="00B46711">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B260A3" w:rsidRDefault="00B46711">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w:t>
      </w:r>
      <w:r>
        <w:rPr>
          <w:rFonts w:ascii="Arial" w:eastAsia="Arial" w:hAnsi="Arial"/>
          <w:sz w:val="24"/>
          <w:szCs w:val="24"/>
        </w:rPr>
        <w:t xml:space="preserve"> Relevant Transfer Date if they wish to do so. ]</w:t>
      </w:r>
    </w:p>
    <w:p w:rsidR="00B260A3" w:rsidRDefault="00B46711">
      <w:pPr>
        <w:tabs>
          <w:tab w:val="left" w:pos="720"/>
        </w:tabs>
        <w:ind w:left="708"/>
        <w:rPr>
          <w:rFonts w:ascii="Arial" w:eastAsia="Arial" w:hAnsi="Arial"/>
          <w:b/>
          <w:sz w:val="24"/>
          <w:szCs w:val="24"/>
        </w:rPr>
      </w:pPr>
      <w:r>
        <w:rPr>
          <w:rFonts w:ascii="Arial" w:eastAsia="Arial" w:hAnsi="Arial"/>
          <w:b/>
          <w:sz w:val="24"/>
          <w:szCs w:val="24"/>
        </w:rPr>
        <w:t>OPTION 2</w:t>
      </w:r>
    </w:p>
    <w:p w:rsidR="00B260A3" w:rsidRDefault="00B46711">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B260A3" w:rsidRDefault="00B46711">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B260A3" w:rsidRDefault="00B46711">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w:t>
      </w:r>
      <w:r>
        <w:rPr>
          <w:rFonts w:ascii="Arial" w:eastAsia="Arial" w:hAnsi="Arial"/>
          <w:sz w:val="24"/>
          <w:szCs w:val="24"/>
        </w:rPr>
        <w:t xml:space="preserve">Comparable pension scheme) but not active members of the LGPS (or a Broadly Comparable pension scheme) immediately before the Relevant Transfer Date </w:t>
      </w:r>
    </w:p>
    <w:p w:rsidR="00B260A3" w:rsidRDefault="00B46711">
      <w:pPr>
        <w:tabs>
          <w:tab w:val="left" w:pos="720"/>
        </w:tabs>
        <w:ind w:left="993"/>
        <w:rPr>
          <w:rFonts w:ascii="Arial" w:eastAsia="Arial" w:hAnsi="Arial"/>
          <w:sz w:val="24"/>
          <w:szCs w:val="24"/>
        </w:rPr>
      </w:pPr>
      <w:r>
        <w:rPr>
          <w:rFonts w:ascii="Arial" w:eastAsia="Arial" w:hAnsi="Arial"/>
          <w:sz w:val="24"/>
          <w:szCs w:val="24"/>
        </w:rPr>
        <w:t>shall be admitted to the LGPS with effect on and from</w:t>
      </w:r>
      <w:r>
        <w:rPr>
          <w:rFonts w:ascii="Arial" w:eastAsia="Arial" w:hAnsi="Arial"/>
          <w:sz w:val="24"/>
          <w:szCs w:val="24"/>
        </w:rPr>
        <w:t xml:space="preserve"> the Relevant Transfer Date. The Supplier shall not automatically enrol or re-enrol for the purposes of the Pensions Act 2008 any LGPS Fair Deal Employees in any pension scheme other than the LGPS unless they cease to be eligible for membership of the LGPS</w:t>
      </w:r>
      <w:r>
        <w:rPr>
          <w:rFonts w:ascii="Arial" w:eastAsia="Arial" w:hAnsi="Arial"/>
          <w:sz w:val="24"/>
          <w:szCs w:val="24"/>
        </w:rPr>
        <w:t xml:space="preserve">.] </w:t>
      </w:r>
    </w:p>
    <w:p w:rsidR="00B260A3" w:rsidRDefault="00B46711">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B260A3" w:rsidRDefault="00B46711">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lastRenderedPageBreak/>
        <w:t>Broadly Comparable Scheme</w:t>
      </w:r>
    </w:p>
    <w:p w:rsidR="00B260A3" w:rsidRDefault="00B46711">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w:t>
      </w:r>
      <w:r>
        <w:rPr>
          <w:rFonts w:ascii="Arial" w:eastAsia="Arial" w:hAnsi="Arial"/>
          <w:sz w:val="24"/>
          <w:szCs w:val="24"/>
        </w:rPr>
        <w:t xml:space="preserve">pplier and/or any of its Subcontractors is unable to obtain an LGPS Admission Agreement in accordance with paragraph 2.1 because the Administering Buyer will not allow it to participate in the Fund,  the Supplier shall (and procure that its Subcontractors </w:t>
      </w:r>
      <w:r>
        <w:rPr>
          <w:rFonts w:ascii="Arial" w:eastAsia="Arial" w:hAnsi="Arial"/>
          <w:sz w:val="24"/>
          <w:szCs w:val="24"/>
        </w:rPr>
        <w:t xml:space="preserve">shall), with effect from the Relevant Transfer Date, offer the LGPS Fair Deal Employees membership of a pension scheme which is Broadly Comparable to LGPS on the Relevant Transfer Date in accordance with the provisions of paragraph 10 of Part D. </w:t>
      </w:r>
    </w:p>
    <w:p w:rsidR="00B260A3" w:rsidRDefault="00B46711">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w:t>
      </w:r>
      <w:r>
        <w:rPr>
          <w:rFonts w:ascii="Arial" w:eastAsia="Arial" w:hAnsi="Arial"/>
          <w:sz w:val="24"/>
          <w:szCs w:val="24"/>
        </w:rPr>
        <w:t>e Supplier and/or any of its Subcontractors becomes an LGPS Admission Body in accordance with paragraph 2.1 but the LGPS Admission Agreement is terminated during the term of the relevant Contract for any reason at a time when the Supplier or Subcontractors</w:t>
      </w:r>
      <w:r>
        <w:rPr>
          <w:rFonts w:ascii="Arial" w:eastAsia="Arial" w:hAnsi="Arial"/>
          <w:sz w:val="24"/>
          <w:szCs w:val="24"/>
        </w:rPr>
        <w:t xml:space="preserve"> still employs any LGPS Eligible Employees, the Supplier shall (and procure that its Subcontractors shall) at no extra cost to the Buyer, offer the remaining LGPS Eligible Employees membership of a pension scheme which is Broadly Comparable to the LGPS on </w:t>
      </w:r>
      <w:r>
        <w:rPr>
          <w:rFonts w:ascii="Arial" w:eastAsia="Arial" w:hAnsi="Arial"/>
          <w:sz w:val="24"/>
          <w:szCs w:val="24"/>
        </w:rPr>
        <w:t>the date the LGPS Eligible Employees ceased to participate in the LGPS in accordance with the provisions of paragraph 11 of Part D.</w:t>
      </w:r>
    </w:p>
    <w:p w:rsidR="00B260A3" w:rsidRDefault="00B46711">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B260A3" w:rsidRDefault="00B46711">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w:t>
      </w:r>
      <w:r>
        <w:rPr>
          <w:rFonts w:ascii="Arial" w:eastAsia="Arial" w:hAnsi="Arial"/>
          <w:sz w:val="24"/>
          <w:szCs w:val="24"/>
        </w:rPr>
        <w:t>d procure that its Subcontractors shall) comply with its obligations under regulation 60 of the 2013 Regulations in relation to the preparation of a discretionary policy statement.</w:t>
      </w:r>
    </w:p>
    <w:p w:rsidR="00B260A3" w:rsidRDefault="00B46711">
      <w:pPr>
        <w:rPr>
          <w:rFonts w:ascii="Arial" w:eastAsia="Arial" w:hAnsi="Arial"/>
          <w:sz w:val="24"/>
          <w:szCs w:val="24"/>
        </w:rPr>
      </w:pPr>
      <w:r>
        <w:rPr>
          <w:rFonts w:ascii="Arial" w:eastAsia="Arial" w:hAnsi="Arial"/>
          <w:sz w:val="24"/>
          <w:szCs w:val="24"/>
        </w:rPr>
        <w:t xml:space="preserve"> </w:t>
      </w:r>
    </w:p>
    <w:p w:rsidR="00B260A3" w:rsidRDefault="00B46711">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B260A3" w:rsidRDefault="00B46711">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B260A3" w:rsidRDefault="00B46711">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B260A3" w:rsidRDefault="00B46711">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B260A3" w:rsidRDefault="00B46711">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w:t>
      </w:r>
      <w:r>
        <w:rPr>
          <w:rFonts w:ascii="Arial" w:eastAsia="Arial" w:hAnsi="Arial"/>
          <w:sz w:val="24"/>
          <w:szCs w:val="24"/>
        </w:rPr>
        <w:t>hat Contract Year, as the case may be, to the Fund.</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w:t>
      </w:r>
      <w:r>
        <w:rPr>
          <w:rFonts w:ascii="Arial" w:eastAsia="Arial" w:hAnsi="Arial"/>
          <w:color w:val="000000"/>
          <w:sz w:val="24"/>
          <w:szCs w:val="24"/>
        </w:rPr>
        <w:t xml:space="preserve"> without limitation any decision made under Regulation 30(8) of the 2013 Regulations or Schedule 2 of The Local Government Pension Scheme (Transitional Provisions, Savings and Amendment) Regulations 2014;</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w:t>
      </w:r>
      <w:r>
        <w:rPr>
          <w:rFonts w:ascii="Arial" w:eastAsia="Arial" w:hAnsi="Arial"/>
          <w:color w:val="000000"/>
          <w:sz w:val="24"/>
          <w:szCs w:val="24"/>
        </w:rPr>
        <w:t xml:space="preserve"> enhanced benefits made at the discretion of the Supplier or any relevant Subcontractors including without limitation additional pension awarded under Regulation 31 of the 2013 Regulations or otherwise;</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w:t>
      </w:r>
      <w:r>
        <w:rPr>
          <w:rFonts w:ascii="Arial" w:eastAsia="Arial" w:hAnsi="Arial"/>
          <w:color w:val="000000"/>
          <w:sz w:val="24"/>
          <w:szCs w:val="24"/>
        </w:rPr>
        <w:t xml:space="preserve">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w:t>
      </w:r>
      <w:r>
        <w:rPr>
          <w:rFonts w:ascii="Arial" w:eastAsia="Arial" w:hAnsi="Arial"/>
          <w:color w:val="000000"/>
          <w:sz w:val="24"/>
          <w:szCs w:val="24"/>
        </w:rPr>
        <w:t>ontractor is contractually bound to provide such increases on the Relevant Transfer Date);</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w:t>
      </w:r>
      <w:r>
        <w:rPr>
          <w:rFonts w:ascii="Arial" w:eastAsia="Arial" w:hAnsi="Arial"/>
          <w:color w:val="000000"/>
          <w:sz w:val="24"/>
          <w:szCs w:val="24"/>
        </w:rPr>
        <w:t xml:space="preserve">ations by the Supplier or any relevant Subcontractors where a member does not have an absolute entitlement to that benefit under the LGPS; </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w:t>
      </w:r>
      <w:r>
        <w:rPr>
          <w:rFonts w:ascii="Arial" w:eastAsia="Arial" w:hAnsi="Arial"/>
          <w:color w:val="000000"/>
          <w:sz w:val="24"/>
          <w:szCs w:val="24"/>
        </w:rPr>
        <w:t xml:space="preserve">ibution rate, including without limitation an amount specified in a notice given by the Administering Buyer under Regulation 70 of the 2013 Regulations; </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w:t>
      </w:r>
      <w:r>
        <w:rPr>
          <w:rFonts w:ascii="Arial" w:eastAsia="Arial" w:hAnsi="Arial"/>
          <w:color w:val="000000"/>
          <w:sz w:val="24"/>
          <w:szCs w:val="24"/>
        </w:rPr>
        <w:t xml:space="preserve"> or a Subcontractor from the Fund Actuary; and/or</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 xml:space="preserve">rded and excluded from the calculation. In the event of any dispute as </w:t>
      </w:r>
      <w:r>
        <w:rPr>
          <w:rFonts w:ascii="Arial" w:eastAsia="Arial" w:hAnsi="Arial"/>
          <w:sz w:val="24"/>
          <w:szCs w:val="24"/>
        </w:rPr>
        <w:t>to the level</w:t>
      </w:r>
      <w:r>
        <w:rPr>
          <w:rFonts w:ascii="Arial" w:eastAsia="Arial" w:hAnsi="Arial"/>
          <w:color w:val="000000"/>
          <w:sz w:val="24"/>
          <w:szCs w:val="24"/>
        </w:rPr>
        <w:t xml:space="preserve"> of any cost that should be excluded from the calculation, the opinion of the Fund Actuary shall be final and binding.</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w:t>
      </w:r>
      <w:r>
        <w:rPr>
          <w:rFonts w:ascii="Arial" w:eastAsia="Arial" w:hAnsi="Arial"/>
          <w:color w:val="000000"/>
          <w:sz w:val="24"/>
          <w:szCs w:val="24"/>
        </w:rPr>
        <w:t>uation and a revised rates and adjustment certificate under the LGPS Regulations and/or the terms of the LGPS Admission Agreement when the LGPS Admission Agreement ceases to have effect and the Supplier or any Subcontractor receives payment of an exit cred</w:t>
      </w:r>
      <w:r>
        <w:rPr>
          <w:rFonts w:ascii="Arial" w:eastAsia="Arial" w:hAnsi="Arial"/>
          <w:color w:val="000000"/>
          <w:sz w:val="24"/>
          <w:szCs w:val="24"/>
        </w:rPr>
        <w:t>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the Supplier shall (or procure that any Subcontractor shall) reimburse the Buyer an amount equal to the Exit Credit within twenty (20) Working Days of receipt of the Exit Credit</w:t>
      </w:r>
      <w:r>
        <w:rPr>
          <w:rFonts w:ascii="Arial" w:eastAsia="Arial" w:hAnsi="Arial"/>
          <w:color w:val="000000"/>
          <w:sz w:val="24"/>
          <w:szCs w:val="24"/>
        </w:rPr>
        <w:t xml:space="preserve">. </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w:t>
      </w:r>
      <w:r>
        <w:rPr>
          <w:rFonts w:ascii="Arial" w:eastAsia="Arial" w:hAnsi="Arial"/>
          <w:color w:val="000000"/>
          <w:sz w:val="24"/>
          <w:szCs w:val="24"/>
        </w:rPr>
        <w:t xml:space="preserve"> provide a reasonable summary of how the Excess Amount or Refund Amount was calculated; and</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w:t>
      </w:r>
      <w:r>
        <w:rPr>
          <w:rFonts w:ascii="Arial" w:eastAsia="Arial" w:hAnsi="Arial"/>
          <w:color w:val="000000"/>
          <w:sz w:val="24"/>
          <w:szCs w:val="24"/>
        </w:rPr>
        <w:t>rovide a copy of any revised rates and adjustments certificate detailing the Exit Payment or Exit Credit and its calculation.</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Within twenty (20) Working Days of receiving the notification under paragraph 5.7  above, the Buyer shall either:</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w:t>
      </w:r>
      <w:r>
        <w:rPr>
          <w:rFonts w:ascii="Arial" w:eastAsia="Arial" w:hAnsi="Arial"/>
          <w:color w:val="000000"/>
          <w:sz w:val="24"/>
          <w:szCs w:val="24"/>
        </w:rPr>
        <w:t>ier in writing of its acceptance of the Excess Amount, Refund Amount or Exit Payment;</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B260A3" w:rsidRDefault="00B46711">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w:t>
      </w:r>
      <w:r>
        <w:rPr>
          <w:rFonts w:ascii="Arial" w:eastAsia="Arial" w:hAnsi="Arial"/>
          <w:color w:val="000000"/>
          <w:sz w:val="24"/>
          <w:szCs w:val="24"/>
        </w:rPr>
        <w:t xml:space="preserve"> clarify the information or evidence provided.</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 receipt of further information or evidence or following a meeting in accordance with paragraph 5.8 above, the Buyer shall notify t</w:t>
      </w:r>
      <w:r>
        <w:rPr>
          <w:rFonts w:ascii="Arial" w:eastAsia="Arial" w:hAnsi="Arial"/>
          <w:color w:val="000000"/>
          <w:sz w:val="24"/>
          <w:szCs w:val="24"/>
        </w:rPr>
        <w:t xml:space="preserve">he Supplier in writing.  In the event that the Supplier and the Buyer are unable to agree the amount of the Excess Amount, Refund Amount or Exit Payment then they shall follow the Dispute Resolution Procedure. </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w:t>
      </w:r>
      <w:r>
        <w:rPr>
          <w:rFonts w:ascii="Arial" w:eastAsia="Arial" w:hAnsi="Arial"/>
          <w:color w:val="000000"/>
          <w:sz w:val="24"/>
          <w:szCs w:val="24"/>
        </w:rPr>
        <w:t>he Buyer or in accordance with the Dispute Resolution Procedure shall be paid by the Buyer within timescales as agreed between Buyer and Supplier. The amount to be paid by the Buyer shall be an amount equal to the Excess Amount or Exit Payment less an amou</w:t>
      </w:r>
      <w:r>
        <w:rPr>
          <w:rFonts w:ascii="Arial" w:eastAsia="Arial" w:hAnsi="Arial"/>
          <w:color w:val="000000"/>
          <w:sz w:val="24"/>
          <w:szCs w:val="24"/>
        </w:rPr>
        <w:t xml:space="preserve">nt equal to any corporation tax relief which has been claimed in respect of the Excess Amount or Exit Payment by the Supplier or a Subcontractor. </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w:t>
      </w:r>
      <w:r>
        <w:rPr>
          <w:rFonts w:ascii="Arial" w:eastAsia="Arial" w:hAnsi="Arial"/>
          <w:color w:val="000000"/>
          <w:sz w:val="24"/>
          <w:szCs w:val="24"/>
        </w:rPr>
        <w:t>e Supplier or any Subcontractor to the Buyer, shall be paid by the Supplier or any Subcontractor forthwith as the liability has been agreed. In the event the Supplier or any Subcontractor fails to pay any agreed Refund Amount, the Buyer shall demand in wri</w:t>
      </w:r>
      <w:r>
        <w:rPr>
          <w:rFonts w:ascii="Arial" w:eastAsia="Arial" w:hAnsi="Arial"/>
          <w:color w:val="000000"/>
          <w:sz w:val="24"/>
          <w:szCs w:val="24"/>
        </w:rPr>
        <w:t>ting the immediate payment of the agreed Refund Amount by the Supplier and the Supplier shall make payment within seven (7) Working Days of such demand.</w:t>
      </w:r>
    </w:p>
    <w:p w:rsidR="00B260A3" w:rsidRDefault="00B46711">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B260A3" w:rsidRDefault="00B260A3">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B260A3" w:rsidRDefault="00B46711">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lastRenderedPageBreak/>
        <w:t>Annex D4: Other Schemes</w:t>
      </w:r>
    </w:p>
    <w:p w:rsidR="00B260A3" w:rsidRDefault="00B46711">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B260A3" w:rsidRDefault="00B46711">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B260A3" w:rsidRDefault="00B46711">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w:t>
      </w:r>
      <w:r>
        <w:rPr>
          <w:rFonts w:ascii="Arial" w:eastAsia="Arial" w:hAnsi="Arial"/>
          <w:color w:val="000000"/>
          <w:sz w:val="24"/>
          <w:szCs w:val="24"/>
        </w:rPr>
        <w:t xml:space="preserve"> and</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B260A3" w:rsidRDefault="00B46711">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w:t>
      </w:r>
      <w:r>
        <w:rPr>
          <w:rFonts w:ascii="Arial" w:eastAsia="Arial" w:hAnsi="Arial"/>
          <w:color w:val="000000"/>
          <w:sz w:val="24"/>
          <w:szCs w:val="24"/>
        </w:rPr>
        <w:t>n, the Supplier's Provisional Supplier Personnel List, together with the Staffing Information in relation to the Supplier's Provisional Supplier Personnel List and it shall provide an updated Supplier's Provisional Supplier Personnel List at such intervals</w:t>
      </w:r>
      <w:r>
        <w:rPr>
          <w:rFonts w:ascii="Arial" w:eastAsia="Arial" w:hAnsi="Arial"/>
          <w:color w:val="000000"/>
          <w:sz w:val="24"/>
          <w:szCs w:val="24"/>
        </w:rPr>
        <w:t xml:space="preserve"> as are reasonably requested by the Buyer.  </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B260A3" w:rsidRDefault="00B46711">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rsidR="00B260A3" w:rsidRDefault="00B46711">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 xml:space="preserve">the Supplier shall provide, and shall procure that each Subcontractor shall provide, to the </w:t>
      </w:r>
      <w:r>
        <w:rPr>
          <w:rFonts w:ascii="Arial" w:eastAsia="Arial" w:hAnsi="Arial"/>
          <w:sz w:val="24"/>
          <w:szCs w:val="24"/>
        </w:rPr>
        <w:t>Buyer Such</w:t>
      </w:r>
      <w:r>
        <w:rPr>
          <w:rFonts w:ascii="Arial" w:eastAsia="Arial" w:hAnsi="Arial"/>
          <w:color w:val="000000"/>
          <w:sz w:val="24"/>
          <w:szCs w:val="24"/>
        </w:rPr>
        <w:t xml:space="preserve"> information as the Buyer may reasonably require relating to the manner in which the Services are organised, which shall include:</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w:t>
      </w:r>
      <w:r>
        <w:rPr>
          <w:rFonts w:ascii="Arial" w:eastAsia="Arial" w:hAnsi="Arial"/>
          <w:color w:val="000000"/>
          <w:sz w:val="24"/>
          <w:szCs w:val="24"/>
        </w:rPr>
        <w:t xml:space="preserve"> engaged in providing the Services;</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w:t>
      </w:r>
      <w:r>
        <w:rPr>
          <w:rFonts w:ascii="Arial" w:eastAsia="Arial" w:hAnsi="Arial"/>
          <w:color w:val="000000"/>
          <w:sz w:val="24"/>
          <w:szCs w:val="24"/>
        </w:rPr>
        <w:t xml:space="preserve"> to the provisions of any of the Annexes to Part D (Pensions) (as appropriate); and</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w:t>
      </w:r>
      <w:r>
        <w:rPr>
          <w:rFonts w:ascii="Arial" w:eastAsia="Arial" w:hAnsi="Arial"/>
          <w:color w:val="000000"/>
          <w:sz w:val="24"/>
          <w:szCs w:val="24"/>
        </w:rPr>
        <w:t xml:space="preserv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w:t>
      </w:r>
      <w:r>
        <w:rPr>
          <w:rFonts w:ascii="Arial" w:eastAsia="Arial" w:hAnsi="Arial"/>
          <w:color w:val="000000"/>
          <w:sz w:val="24"/>
          <w:szCs w:val="24"/>
        </w:rPr>
        <w:t>advance of the Service Transfer Date to ensure that all necessary payroll arrangements can be made to enable the Transferring Supplier Employees to be paid as appropriate.  Without prejudice to the generality of the foregoing, within 5 Working Days followi</w:t>
      </w:r>
      <w:r>
        <w:rPr>
          <w:rFonts w:ascii="Arial" w:eastAsia="Arial" w:hAnsi="Arial"/>
          <w:color w:val="000000"/>
          <w:sz w:val="24"/>
          <w:szCs w:val="24"/>
        </w:rPr>
        <w:t>ng the Service Transfer Date, the Supplier shall provide, and shall procure that each Subcontractor shall provide, to the Buyer or, at the direction of the Buyer, to any Replacement Supplier and/or any Replacement Subcontractor (as appropriate), in respect</w:t>
      </w:r>
      <w:r>
        <w:rPr>
          <w:rFonts w:ascii="Arial" w:eastAsia="Arial" w:hAnsi="Arial"/>
          <w:color w:val="000000"/>
          <w:sz w:val="24"/>
          <w:szCs w:val="24"/>
        </w:rPr>
        <w:t xml:space="preserve"> of each person on the Supplier's Final Supplier Personnel List who is a Transferring Supplier Employee: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B260A3" w:rsidRDefault="00B46711">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olor w:val="000000"/>
          <w:sz w:val="24"/>
          <w:szCs w:val="24"/>
        </w:rPr>
        <w:t>t Supplier and/or a Replacement Subcontractor (as the case may be) and each such Transferring Supplier Employee.</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w:t>
      </w:r>
      <w:r>
        <w:rPr>
          <w:rFonts w:ascii="Arial" w:eastAsia="Arial" w:hAnsi="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olor w:val="000000"/>
          <w:sz w:val="24"/>
          <w:szCs w:val="24"/>
        </w:rPr>
        <w:t xml:space="preserve">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(i) the Supplier and/or the Subcontractor (as appropriate); and (ii) the Replacement Supplier and/or R</w:t>
      </w:r>
      <w:r>
        <w:rPr>
          <w:rFonts w:ascii="Arial" w:eastAsia="Arial" w:hAnsi="Arial"/>
          <w:color w:val="000000"/>
          <w:sz w:val="24"/>
          <w:szCs w:val="24"/>
        </w:rPr>
        <w:t xml:space="preserve">eplacement Subcontractor.  </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w:t>
      </w:r>
      <w:r>
        <w:rPr>
          <w:rFonts w:ascii="Arial" w:eastAsia="Arial" w:hAnsi="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olor w:val="000000"/>
          <w:sz w:val="24"/>
          <w:szCs w:val="24"/>
        </w:rPr>
        <w:t xml:space="preserve">nsfer Date;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B260A3" w:rsidRDefault="00B46711">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B260A3" w:rsidRDefault="00B46711">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w:t>
      </w:r>
      <w:r>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w:t>
      </w:r>
      <w:r>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B260A3" w:rsidRDefault="00B46711">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w:t>
      </w:r>
      <w:r>
        <w:rPr>
          <w:rFonts w:ascii="Arial" w:eastAsia="Arial" w:hAnsi="Arial"/>
          <w:sz w:val="24"/>
          <w:szCs w:val="24"/>
        </w:rPr>
        <w:t>he proceeding, claim or demand by HMRC or other statutory authority relates to financial obligations arising on and before the Service Transfer Date; and</w:t>
      </w:r>
    </w:p>
    <w:p w:rsidR="00B260A3" w:rsidRDefault="00B46711">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w:t>
      </w:r>
      <w:r>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sz w:val="24"/>
          <w:szCs w:val="24"/>
        </w:rPr>
        <w:t>eding, claim or demand by HMRC or other statutory authority relates to financial obligations arising on or before the Service Transfer Date;</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w:t>
      </w:r>
      <w:r>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w:t>
      </w:r>
      <w:r>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olor w:val="000000"/>
          <w:sz w:val="24"/>
          <w:szCs w:val="24"/>
        </w:rPr>
        <w:t>ontractor may be liable by virtue of the relevant Contract and/or the Employment Regulations and/or the Acquired Rights Directive; and</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w:t>
      </w:r>
      <w:r>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olor w:val="000000"/>
          <w:sz w:val="24"/>
          <w:szCs w:val="24"/>
        </w:rPr>
        <w:t>ility arises from the failure by the Buyer and/or Replacement Supplier to comply with regulation 13(4) of the Employment Regulations.</w:t>
      </w:r>
    </w:p>
    <w:p w:rsidR="00B260A3" w:rsidRDefault="00B260A3">
      <w:pPr>
        <w:pBdr>
          <w:top w:val="nil"/>
          <w:left w:val="nil"/>
          <w:bottom w:val="nil"/>
          <w:right w:val="nil"/>
          <w:between w:val="nil"/>
        </w:pBdr>
        <w:spacing w:before="120" w:after="120"/>
        <w:ind w:left="2214" w:hanging="1080"/>
        <w:rPr>
          <w:rFonts w:ascii="Arial" w:eastAsia="Arial" w:hAnsi="Arial"/>
          <w:color w:val="000000"/>
          <w:sz w:val="24"/>
          <w:szCs w:val="24"/>
        </w:rPr>
      </w:pP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rsidR="00B260A3" w:rsidRDefault="00B260A3">
      <w:pPr>
        <w:pBdr>
          <w:top w:val="nil"/>
          <w:left w:val="nil"/>
          <w:bottom w:val="nil"/>
          <w:right w:val="nil"/>
          <w:between w:val="nil"/>
        </w:pBdr>
        <w:spacing w:before="120" w:after="120"/>
        <w:ind w:left="1134" w:hanging="1080"/>
        <w:rPr>
          <w:rFonts w:eastAsia="Calibri" w:cs="Calibri"/>
          <w:color w:val="000000"/>
        </w:rPr>
      </w:pP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w:t>
      </w:r>
      <w:r>
        <w:rPr>
          <w:rFonts w:ascii="Arial" w:eastAsia="Arial" w:hAnsi="Arial"/>
          <w:color w:val="000000"/>
          <w:sz w:val="24"/>
          <w:szCs w:val="24"/>
        </w:rPr>
        <w:t>ocure the release the person from his/her employment or alleged employment;</w:t>
      </w: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w:t>
      </w:r>
      <w:r>
        <w:rPr>
          <w:rFonts w:ascii="Arial" w:eastAsia="Arial" w:hAnsi="Arial"/>
          <w:color w:val="000000"/>
          <w:sz w:val="24"/>
          <w:szCs w:val="24"/>
        </w:rPr>
        <w:t>erwise been resolved</w:t>
      </w:r>
    </w:p>
    <w:p w:rsidR="00B260A3" w:rsidRDefault="00B46711">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w:t>
      </w:r>
      <w:r>
        <w:rPr>
          <w:rFonts w:ascii="Arial" w:eastAsia="Arial" w:hAnsi="Arial"/>
          <w:color w:val="000000"/>
          <w:sz w:val="24"/>
          <w:szCs w:val="24"/>
        </w:rPr>
        <w:t>t Supplier's and/or Replacement Subcontractor acting in accordance with the provisions of Paragraphs 2.5 to 2.7 and in accordance with all applicable proper employment procedures set out in applicable Law and subject to Paragraph 2.9 below, the Supplier wi</w:t>
      </w:r>
      <w:r>
        <w:rPr>
          <w:rFonts w:ascii="Arial" w:eastAsia="Arial" w:hAnsi="Arial"/>
          <w:color w:val="000000"/>
          <w:sz w:val="24"/>
          <w:szCs w:val="24"/>
        </w:rPr>
        <w:t>ll indemnify the Replacement Supplier and/or Replacement Subcontractor against all Employee Liabilities arising out of the termination of the employment of any of the Supplier's  employees pursuant to the provisions of Paragraph 2.7 provided that the Repla</w:t>
      </w:r>
      <w:r>
        <w:rPr>
          <w:rFonts w:ascii="Arial" w:eastAsia="Arial" w:hAnsi="Arial"/>
          <w:color w:val="000000"/>
          <w:sz w:val="24"/>
          <w:szCs w:val="24"/>
        </w:rPr>
        <w:t xml:space="preserve">cement Supplier takes, or shall procure that the Replacement Subcontractor takes, all reasonable steps to minimise any such Employee Liabilities. </w:t>
      </w:r>
    </w:p>
    <w:p w:rsidR="00B260A3" w:rsidRDefault="00B46711">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B260A3" w:rsidRDefault="00B46711">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B260A3" w:rsidRDefault="00B46711">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B260A3" w:rsidRDefault="00B46711">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B260A3" w:rsidRDefault="00B46711">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B260A3" w:rsidRDefault="00B46711">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w:t>
      </w:r>
      <w:r>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B260A3" w:rsidRDefault="00B46711">
      <w:pPr>
        <w:pStyle w:val="Heading4"/>
        <w:numPr>
          <w:ilvl w:val="3"/>
          <w:numId w:val="3"/>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rsidR="00B260A3" w:rsidRDefault="00B46711">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B260A3" w:rsidRDefault="00B260A3">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rsidR="00B260A3" w:rsidRDefault="00B46711">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B260A3" w:rsidRDefault="00B46711">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B260A3" w:rsidRDefault="00B46711">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B260A3" w:rsidRDefault="00B46711">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rsidR="00B260A3" w:rsidRDefault="00B46711">
      <w:pPr>
        <w:pStyle w:val="Heading5"/>
        <w:numPr>
          <w:ilvl w:val="4"/>
          <w:numId w:val="11"/>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rsidR="00B260A3" w:rsidRDefault="00B46711">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 xml:space="preserve">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B260A3" w:rsidRDefault="00B260A3">
      <w:pPr>
        <w:pBdr>
          <w:top w:val="nil"/>
          <w:left w:val="nil"/>
          <w:bottom w:val="nil"/>
          <w:right w:val="nil"/>
          <w:between w:val="nil"/>
        </w:pBdr>
        <w:spacing w:before="120" w:after="120"/>
        <w:ind w:left="2214" w:hanging="1080"/>
        <w:rPr>
          <w:rFonts w:ascii="Arial" w:eastAsia="Arial" w:hAnsi="Arial"/>
          <w:color w:val="000000"/>
          <w:sz w:val="24"/>
          <w:szCs w:val="24"/>
        </w:rPr>
      </w:pPr>
    </w:p>
    <w:p w:rsidR="00B260A3" w:rsidRDefault="00B46711">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B260A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711" w:rsidRDefault="00B46711">
      <w:pPr>
        <w:spacing w:after="0"/>
      </w:pPr>
      <w:r>
        <w:separator/>
      </w:r>
    </w:p>
  </w:endnote>
  <w:endnote w:type="continuationSeparator" w:id="0">
    <w:p w:rsidR="00B46711" w:rsidRDefault="00B46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0A3" w:rsidRDefault="00B260A3">
    <w:pPr>
      <w:tabs>
        <w:tab w:val="center" w:pos="4513"/>
        <w:tab w:val="right" w:pos="9026"/>
      </w:tabs>
      <w:spacing w:after="0"/>
      <w:rPr>
        <w:rFonts w:ascii="Arial" w:eastAsia="Arial" w:hAnsi="Arial"/>
        <w:color w:val="A6A6A6"/>
        <w:sz w:val="20"/>
        <w:szCs w:val="20"/>
      </w:rPr>
    </w:pPr>
  </w:p>
  <w:p w:rsidR="00B260A3" w:rsidRDefault="00B46711">
    <w:pPr>
      <w:tabs>
        <w:tab w:val="center" w:pos="4513"/>
        <w:tab w:val="right" w:pos="9026"/>
      </w:tabs>
      <w:spacing w:after="0"/>
      <w:rPr>
        <w:rFonts w:ascii="Arial" w:eastAsia="Arial" w:hAnsi="Arial"/>
        <w:sz w:val="20"/>
        <w:szCs w:val="20"/>
      </w:rPr>
    </w:pPr>
    <w:r>
      <w:rPr>
        <w:rFonts w:ascii="Arial" w:eastAsia="Arial" w:hAnsi="Arial"/>
        <w:sz w:val="20"/>
        <w:szCs w:val="20"/>
      </w:rPr>
      <w:t>Framework Ref: RM6261</w:t>
    </w:r>
  </w:p>
  <w:p w:rsidR="00B260A3" w:rsidRDefault="00B4671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3F43C6">
      <w:rPr>
        <w:rFonts w:ascii="Arial" w:eastAsia="Arial" w:hAnsi="Arial"/>
        <w:color w:val="000000"/>
        <w:sz w:val="20"/>
        <w:szCs w:val="20"/>
      </w:rPr>
      <w:fldChar w:fldCharType="separate"/>
    </w:r>
    <w:r w:rsidR="003F43C6">
      <w:rPr>
        <w:rFonts w:ascii="Arial" w:eastAsia="Arial" w:hAnsi="Arial"/>
        <w:noProof/>
        <w:color w:val="000000"/>
        <w:sz w:val="20"/>
        <w:szCs w:val="20"/>
      </w:rPr>
      <w:t>1</w:t>
    </w:r>
    <w:r>
      <w:rPr>
        <w:rFonts w:ascii="Arial" w:eastAsia="Arial" w:hAnsi="Arial"/>
        <w:color w:val="000000"/>
        <w:sz w:val="20"/>
        <w:szCs w:val="20"/>
      </w:rPr>
      <w:fldChar w:fldCharType="end"/>
    </w:r>
  </w:p>
  <w:p w:rsidR="00B260A3" w:rsidRDefault="00B46711">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0A3" w:rsidRDefault="00B260A3">
    <w:pPr>
      <w:tabs>
        <w:tab w:val="center" w:pos="4513"/>
        <w:tab w:val="right" w:pos="9026"/>
      </w:tabs>
      <w:spacing w:after="0"/>
      <w:rPr>
        <w:rFonts w:ascii="Arial" w:eastAsia="Arial" w:hAnsi="Arial"/>
        <w:color w:val="A6A6A6"/>
        <w:sz w:val="20"/>
        <w:szCs w:val="20"/>
      </w:rPr>
    </w:pPr>
  </w:p>
  <w:p w:rsidR="00B260A3" w:rsidRDefault="00B46711">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rsidR="00B260A3" w:rsidRDefault="00B46711">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B260A3" w:rsidRDefault="00B46711">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711" w:rsidRDefault="00B46711">
      <w:pPr>
        <w:spacing w:after="0"/>
      </w:pPr>
      <w:r>
        <w:separator/>
      </w:r>
    </w:p>
  </w:footnote>
  <w:footnote w:type="continuationSeparator" w:id="0">
    <w:p w:rsidR="00B46711" w:rsidRDefault="00B46711">
      <w:pPr>
        <w:spacing w:after="0"/>
      </w:pPr>
      <w:r>
        <w:continuationSeparator/>
      </w:r>
    </w:p>
  </w:footnote>
  <w:footnote w:id="1">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w:t>
      </w:r>
      <w:r>
        <w:rPr>
          <w:rFonts w:eastAsia="Calibri" w:cs="Calibri"/>
          <w:color w:val="000000"/>
          <w:sz w:val="20"/>
          <w:szCs w:val="20"/>
          <w:highlight w:val="yellow"/>
        </w:rPr>
        <w:t>is definition.</w:t>
      </w:r>
    </w:p>
  </w:footnote>
  <w:footnote w:id="7">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B260A3" w:rsidRDefault="00B46711">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0A3" w:rsidRDefault="00B4671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B260A3" w:rsidRDefault="00B46711">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rsidR="00B260A3" w:rsidRDefault="00B4671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22</w:t>
    </w:r>
    <w:r>
      <w:rPr>
        <w:rFonts w:ascii="Arial" w:eastAsia="Arial" w:hAnsi="Arial"/>
        <w:color w:val="000000"/>
        <w:sz w:val="20"/>
        <w:szCs w:val="20"/>
      </w:rPr>
      <w:t xml:space="preserve"> </w:t>
    </w:r>
  </w:p>
  <w:p w:rsidR="00B260A3" w:rsidRDefault="00B260A3">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0A3" w:rsidRDefault="00B260A3">
    <w:pPr>
      <w:pBdr>
        <w:top w:val="nil"/>
        <w:left w:val="nil"/>
        <w:bottom w:val="nil"/>
        <w:right w:val="nil"/>
        <w:between w:val="nil"/>
      </w:pBdr>
      <w:tabs>
        <w:tab w:val="center" w:pos="4513"/>
        <w:tab w:val="right" w:pos="9026"/>
      </w:tabs>
      <w:spacing w:after="0"/>
      <w:rPr>
        <w:rFonts w:eastAsia="Calibri" w:cs="Calibri"/>
        <w:color w:val="000000"/>
      </w:rPr>
    </w:pPr>
  </w:p>
  <w:p w:rsidR="00B260A3" w:rsidRDefault="00B260A3">
    <w:pPr>
      <w:pBdr>
        <w:top w:val="nil"/>
        <w:left w:val="nil"/>
        <w:bottom w:val="nil"/>
        <w:right w:val="nil"/>
        <w:between w:val="nil"/>
      </w:pBdr>
      <w:tabs>
        <w:tab w:val="center" w:pos="4513"/>
        <w:tab w:val="right" w:pos="9026"/>
      </w:tabs>
      <w:spacing w:after="0"/>
      <w:rPr>
        <w:rFonts w:eastAsia="Calibri" w:cs="Calibri"/>
        <w:color w:val="000000"/>
      </w:rPr>
    </w:pPr>
  </w:p>
  <w:p w:rsidR="00B260A3" w:rsidRDefault="00B260A3">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3085"/>
    <w:multiLevelType w:val="multilevel"/>
    <w:tmpl w:val="55D68D84"/>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BDA4D92"/>
    <w:multiLevelType w:val="multilevel"/>
    <w:tmpl w:val="1B96BB7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5BE4B52"/>
    <w:multiLevelType w:val="multilevel"/>
    <w:tmpl w:val="939E7964"/>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1BFF3D0F"/>
    <w:multiLevelType w:val="multilevel"/>
    <w:tmpl w:val="54C67FA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4" w15:restartNumberingAfterBreak="0">
    <w:nsid w:val="22F2608E"/>
    <w:multiLevelType w:val="multilevel"/>
    <w:tmpl w:val="DAF0D9E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25364F38"/>
    <w:multiLevelType w:val="multilevel"/>
    <w:tmpl w:val="9F0036F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73E3B21"/>
    <w:multiLevelType w:val="multilevel"/>
    <w:tmpl w:val="5866C9D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7B87AE2"/>
    <w:multiLevelType w:val="multilevel"/>
    <w:tmpl w:val="1DACB05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30CF3201"/>
    <w:multiLevelType w:val="multilevel"/>
    <w:tmpl w:val="FDA658B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9" w15:restartNumberingAfterBreak="0">
    <w:nsid w:val="34987B50"/>
    <w:multiLevelType w:val="multilevel"/>
    <w:tmpl w:val="F9B05A0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BB30771"/>
    <w:multiLevelType w:val="multilevel"/>
    <w:tmpl w:val="331078C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C4013D5"/>
    <w:multiLevelType w:val="multilevel"/>
    <w:tmpl w:val="1CC28D10"/>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FD7571F"/>
    <w:multiLevelType w:val="multilevel"/>
    <w:tmpl w:val="343A16F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47C807CB"/>
    <w:multiLevelType w:val="multilevel"/>
    <w:tmpl w:val="5A526A80"/>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4B862B0C"/>
    <w:multiLevelType w:val="multilevel"/>
    <w:tmpl w:val="56045A1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4D737336"/>
    <w:multiLevelType w:val="multilevel"/>
    <w:tmpl w:val="7A2E943C"/>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5E105E46"/>
    <w:multiLevelType w:val="multilevel"/>
    <w:tmpl w:val="F53E146A"/>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C67612A"/>
    <w:multiLevelType w:val="multilevel"/>
    <w:tmpl w:val="BBB227DC"/>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FE96048"/>
    <w:multiLevelType w:val="multilevel"/>
    <w:tmpl w:val="F1FE32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 w:numId="2">
    <w:abstractNumId w:val="13"/>
  </w:num>
  <w:num w:numId="3">
    <w:abstractNumId w:val="4"/>
  </w:num>
  <w:num w:numId="4">
    <w:abstractNumId w:val="15"/>
  </w:num>
  <w:num w:numId="5">
    <w:abstractNumId w:val="2"/>
  </w:num>
  <w:num w:numId="6">
    <w:abstractNumId w:val="8"/>
  </w:num>
  <w:num w:numId="7">
    <w:abstractNumId w:val="6"/>
  </w:num>
  <w:num w:numId="8">
    <w:abstractNumId w:val="9"/>
  </w:num>
  <w:num w:numId="9">
    <w:abstractNumId w:val="7"/>
  </w:num>
  <w:num w:numId="10">
    <w:abstractNumId w:val="16"/>
  </w:num>
  <w:num w:numId="11">
    <w:abstractNumId w:val="14"/>
  </w:num>
  <w:num w:numId="12">
    <w:abstractNumId w:val="5"/>
  </w:num>
  <w:num w:numId="13">
    <w:abstractNumId w:val="10"/>
  </w:num>
  <w:num w:numId="14">
    <w:abstractNumId w:val="17"/>
  </w:num>
  <w:num w:numId="15">
    <w:abstractNumId w:val="11"/>
  </w:num>
  <w:num w:numId="16">
    <w:abstractNumId w:val="3"/>
  </w:num>
  <w:num w:numId="17">
    <w:abstractNumId w:val="12"/>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0A3"/>
    <w:rsid w:val="003F43C6"/>
    <w:rsid w:val="00B260A3"/>
    <w:rsid w:val="00B467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C7A82"/>
  <w15:docId w15:val="{62DFE240-0AB6-4370-8FC8-A15470FA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ik18/FYlVqHra7+c6Tk55JMKg==">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19085</Words>
  <Characters>108786</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Lancaster</dc:creator>
  <cp:lastModifiedBy>Megan Lancaster</cp:lastModifiedBy>
  <cp:revision>2</cp:revision>
  <dcterms:created xsi:type="dcterms:W3CDTF">2023-06-28T12:04:00Z</dcterms:created>
  <dcterms:modified xsi:type="dcterms:W3CDTF">2023-06-28T12:04:00Z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